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</w:pPr>
      <w:r>
        <w:rPr>
          <w:rFonts w:ascii="Calibri" w:hAnsi="Calibri"/>
          <w:b/>
          <w:i w:val="0"/>
          <w:color w:val="B5541A"/>
          <w:sz w:val="18"/>
        </w:rPr>
        <w:t>DATA GOVERNANCE</w:t>
      </w:r>
    </w:p>
    <w:p>
      <w:pPr>
        <w:spacing w:before="80" w:after="120"/>
      </w:pPr>
      <w:r>
        <w:rPr>
          <w:rFonts w:ascii="Calibri" w:hAnsi="Calibri"/>
          <w:b/>
          <w:i w:val="0"/>
          <w:color w:val="1A1F2E"/>
          <w:sz w:val="56"/>
        </w:rPr>
        <w:t>Data Classification Policy</w:t>
      </w:r>
    </w:p>
    <w:p>
      <w:pPr>
        <w:spacing w:after="240"/>
      </w:pPr>
      <w:r>
        <w:rPr>
          <w:rFonts w:ascii="Calibri" w:hAnsi="Calibri"/>
          <w:b w:val="0"/>
          <w:i/>
          <w:color w:val="8B8378"/>
          <w:sz w:val="24"/>
        </w:rPr>
        <w:t>Classification tiers, handling requirements, and assignment rules for treating data according to its sensitivity.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360"/>
      </w:tblGrid>
      <w:tr>
        <w:trPr>
          <w:trHeight w:val="125"/>
        </w:trPr>
        <w:tc>
          <w:tcPr>
            <w:tcW w:type="dxa" w:w="9360"/>
            <w:shd w:val="clear" w:color="auto" w:fill="B5541A"/>
          </w:tcPr>
          <w:p/>
        </w:tc>
      </w:tr>
    </w:tbl>
    <w:p>
      <w:pPr>
        <w:spacing w:before="160" w:after="0"/>
      </w:pPr>
      <w:r>
        <w:rPr>
          <w:rFonts w:ascii="Calibri" w:hAnsi="Calibri"/>
          <w:b w:val="0"/>
          <w:i/>
          <w:color w:val="8B8378"/>
          <w:sz w:val="18"/>
        </w:rPr>
        <w:t>Template  ·  From The Data Governor  ·  thedatagovernor.com/templates/</w:t>
      </w:r>
    </w:p>
    <w:p/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Document title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Data Classification Policy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Version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1.0  —  [Date]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Owner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[Policy owner, e.g., Head of Data Governance]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Approved by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[Approval body, e.g., Data Governance Council]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Applies to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[All employees, contractors, and third parties handling company data]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Next review date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[12 months from effective date]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Status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 ] Draft   [ ] Under Review   [ ] Approved   [ ] Superseded</w:t>
            </w:r>
          </w:p>
        </w:tc>
      </w:tr>
    </w:tbl>
    <w:p/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1.  Purpose &amp; Scope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2A2620"/>
          <w:sz w:val="22"/>
        </w:rPr>
        <w:t>This policy defines how [Organization] classifies data according to its sensitivity, and the minimum handling requirements each classification tier demands. Classification is the foundation control: access, encryption, sharing, retention, and incident response all key off the tier a data asset carries.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2A2620"/>
          <w:sz w:val="22"/>
        </w:rPr>
        <w:t>The policy applies to all data created, received, stored, or processed by [Organization], in any format (structured, unstructured, physical), on any system (owned, cloud, or third-party). Every data asset in scope must carry exactly one classification tier.</w:t>
      </w:r>
    </w:p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2.  Classification Tiers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2A2620"/>
          <w:sz w:val="22"/>
        </w:rPr>
        <w:t>[Organization] uses four classification tiers. When in doubt between two tiers, classify at the higher (more restrictive) tier until the data owner rules.</w:t>
      </w:r>
    </w:p>
    <w:p/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024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Tier</w:t>
            </w:r>
          </w:p>
        </w:tc>
        <w:tc>
          <w:tcPr>
            <w:tcW w:type="dxa" w:w="3024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Definition</w:t>
            </w:r>
          </w:p>
        </w:tc>
        <w:tc>
          <w:tcPr>
            <w:tcW w:type="dxa" w:w="3024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Examples</w:t>
            </w:r>
          </w:p>
        </w:tc>
      </w:tr>
      <w:tr>
        <w:tc>
          <w:tcPr>
            <w:tcW w:type="dxa" w:w="312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/>
            <w:r>
              <w:rPr>
                <w:rFonts w:ascii="Calibri" w:hAnsi="Calibri"/>
                <w:b/>
                <w:i w:val="0"/>
                <w:color w:val="2A2620"/>
                <w:sz w:val="20"/>
              </w:rPr>
              <w:t>PUBLIC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Approved for unrestricted disclosure. No harm if freely shared.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Published marketing material, press releases, public website content, open job postings</w:t>
            </w:r>
          </w:p>
        </w:tc>
      </w:tr>
      <w:tr>
        <w:tc>
          <w:tcPr>
            <w:tcW w:type="dxa" w:w="3120"/>
            <w:shd w:val="clear" w:color="auto" w:fill="6B8FAE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/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INTERNAL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Default tier for business data. Disclosure would cause limited inconvenience, not damage.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Org charts, internal policies, project plans, non-sensitive operational reports</w:t>
            </w:r>
          </w:p>
        </w:tc>
      </w:tr>
      <w:tr>
        <w:tc>
          <w:tcPr>
            <w:tcW w:type="dxa" w:w="3120"/>
            <w:shd w:val="clear" w:color="auto" w:fill="B5541A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/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CONFIDENTIAL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Disclosure would damage the business, customers, or partners. Access on need-to-know basis.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Customer PII, contracts, financial results pre-release, product roadmaps, employee data</w:t>
            </w:r>
          </w:p>
        </w:tc>
      </w:tr>
      <w:tr>
        <w:tc>
          <w:tcPr>
            <w:tcW w:type="dxa" w:w="3120"/>
            <w:shd w:val="clear" w:color="auto" w:fill="1A1F2E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/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RESTRICTED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Highest sensitivity. Disclosure would cause severe legal, regulatory, or financial harm.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Payment card data (PCI), health records (PHI), credentials and keys, M&amp;A material, trade secrets</w:t>
            </w:r>
          </w:p>
        </w:tc>
      </w:tr>
    </w:tbl>
    <w:p/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3.  Handling Requirements by Tier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2A2620"/>
          <w:sz w:val="22"/>
        </w:rPr>
        <w:t>The matrix below sets the minimum control per tier. Systems and processes may exceed these requirements; they may not fall below them.</w:t>
      </w:r>
    </w:p>
    <w:p/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Control</w:t>
            </w:r>
          </w:p>
        </w:tc>
        <w:tc>
          <w:tcPr>
            <w:tcW w:type="dxa" w:w="187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Public</w:t>
            </w:r>
          </w:p>
        </w:tc>
        <w:tc>
          <w:tcPr>
            <w:tcW w:type="dxa" w:w="187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Internal</w:t>
            </w:r>
          </w:p>
        </w:tc>
        <w:tc>
          <w:tcPr>
            <w:tcW w:type="dxa" w:w="187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Confidential</w:t>
            </w:r>
          </w:p>
        </w:tc>
        <w:tc>
          <w:tcPr>
            <w:tcW w:type="dxa" w:w="187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Restricted</w:t>
            </w:r>
          </w:p>
        </w:tc>
      </w:tr>
      <w:tr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2A2620"/>
                <w:sz w:val="18"/>
              </w:rPr>
              <w:t>Access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Unrestricted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All staff by default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Need-to-know; owner approves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Named individuals; owner + security approve</w:t>
            </w:r>
          </w:p>
        </w:tc>
      </w:tr>
      <w:tr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2A2620"/>
                <w:sz w:val="18"/>
              </w:rPr>
              <w:t>Storage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Any approved system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Approved company systems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Approved systems, encrypted at rest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Designated systems only, encrypted at rest</w:t>
            </w:r>
          </w:p>
        </w:tc>
      </w:tr>
      <w:tr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2A2620"/>
                <w:sz w:val="18"/>
              </w:rPr>
              <w:t>Transmission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No restriction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Company channels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Encrypted in transit (TLS)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Encrypted in transit + end-to-end where available</w:t>
            </w:r>
          </w:p>
        </w:tc>
      </w:tr>
      <w:tr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2A2620"/>
                <w:sz w:val="18"/>
              </w:rPr>
              <w:t>External sharing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Permitted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Manager approval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NDA + owner approval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Contract + owner + Legal approval; log required</w:t>
            </w:r>
          </w:p>
        </w:tc>
      </w:tr>
      <w:tr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2A2620"/>
                <w:sz w:val="18"/>
              </w:rPr>
              <w:t>Labeling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Optional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Recommended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Required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Required, plus system-enforced tags</w:t>
            </w:r>
          </w:p>
        </w:tc>
      </w:tr>
      <w:tr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2A2620"/>
                <w:sz w:val="18"/>
              </w:rPr>
              <w:t>Printing / export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Permitted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Permitted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Discouraged; secure disposal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Prohibited without documented exception</w:t>
            </w:r>
          </w:p>
        </w:tc>
      </w:tr>
      <w:tr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2A2620"/>
                <w:sz w:val="18"/>
              </w:rPr>
              <w:t>Retention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Per retention schedule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Per retention schedule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Per retention schedule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Per retention schedule; disposal certificate</w:t>
            </w:r>
          </w:p>
        </w:tc>
      </w:tr>
      <w:tr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2A2620"/>
                <w:sz w:val="18"/>
              </w:rPr>
              <w:t>Incident reporting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—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Report within [72] hours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Report within [24] hours</w:t>
            </w:r>
          </w:p>
        </w:tc>
        <w:tc>
          <w:tcPr>
            <w:tcW w:type="dxa" w:w="1872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Report immediately</w:t>
            </w:r>
          </w:p>
        </w:tc>
      </w:tr>
    </w:tbl>
    <w:p/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4.  Roles &amp; Responsibilities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Data Owner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Assigns and approves the classification for assets in their domain. Rules on disputes and exception requests.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Data Steward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Maintains classifications day-to-day, reviews new assets, flags misclassification, and keeps examples current.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Data Custodian (IT)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Implements the technical controls each tier requires: access, encryption, logging, and disposal.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All Users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Handle data according to its tier, apply labels where required, and report suspected misclassification or exposure.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Governance Council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Owns this policy, approves changes to tiers or handling requirements, and reviews exceptions quarterly.</w:t>
            </w:r>
          </w:p>
        </w:tc>
      </w:tr>
    </w:tbl>
    <w:p/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5.  Classification Process</w:t>
      </w:r>
    </w:p>
    <w:p>
      <w:pPr>
        <w:pStyle w:val="ListNumber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New data assets default to INTERNAL until classified. The data owner (or delegate steward) assigns the tier at creation or ingestion.</w:t>
      </w:r>
    </w:p>
    <w:p>
      <w:pPr>
        <w:pStyle w:val="ListNumber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Derived data inherits the highest tier of its sources. A report built on Confidential data is Confidential until the owner explicitly downgrades it.</w:t>
      </w:r>
    </w:p>
    <w:p>
      <w:pPr>
        <w:pStyle w:val="ListNumber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Classifications are recorded in [the data catalog / asset register], not in tribal knowledge.</w:t>
      </w:r>
    </w:p>
    <w:p>
      <w:pPr>
        <w:pStyle w:val="ListNumber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Owners review classifications for their domain at least annually, and whenever the data's use, content, or regulation changes.</w:t>
      </w:r>
    </w:p>
    <w:p>
      <w:pPr>
        <w:pStyle w:val="ListNumber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Aggregation can raise the tier: individually Internal records may become Confidential in bulk. Owners consider volume when classifying datasets.</w:t>
      </w:r>
    </w:p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6.  Labeling Standards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2A2620"/>
          <w:sz w:val="22"/>
        </w:rPr>
        <w:t>Confidential and Restricted assets must carry their tier visibly: document headers or footers, email subject tags (e.g., [CONFIDENTIAL]), and metadata tags in systems that support them. Where the platform supports automated sensitivity labels [e.g., Microsoft Purview Information Protection], automated labeling is the preferred mechanism and manual labels must not contradict it.</w:t>
      </w:r>
    </w:p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7.  Exceptions &amp; Downgrades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2A2620"/>
          <w:sz w:val="22"/>
        </w:rPr>
        <w:t>Any handling exception (e.g., exporting Restricted data to a vendor system) requires a written, time-bound exception approved by the data owner and [Security/Legal]. Exceptions are logged in [the exception register] and expire after at most [12] months.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2A2620"/>
          <w:sz w:val="22"/>
        </w:rPr>
        <w:t>Downgrading a classification requires the data owner's documented approval. Declassification of Restricted data additionally requires [Legal/Compliance] sign-off.</w:t>
      </w:r>
    </w:p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8.  Enforcement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2A2620"/>
          <w:sz w:val="22"/>
        </w:rPr>
        <w:t>Violations of this policy are handled under [Organization]'s disciplinary process and may constitute a reportable security incident. Custodians implement technical enforcement (DLP rules, access reviews, encryption) keyed to tiers; the governance office audits a sample of classifications [quarterly].</w:t>
      </w:r>
    </w:p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9.  Adapting This Template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Smaller organizations: collapse to three tiers by merging Confidential and Restricted — three tiers people actually use beat four they ignore. See thedatagovernor.com/data-classification-implementation/ for the case for a sustainable 3-tier system.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Regulated industries: keep four tiers and map Restricted explicitly to your regulatory categories (PCI, PHI, material non-public information).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Replace every [bracketed] value with your organization's specifics before approval.</w:t>
      </w:r>
    </w:p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10.  Revision History &amp; Approval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Version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Date  |  Author  |  Summary of changes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1.0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[Date]  |  [Author]  |  Initial policy approved.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—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</w:r>
          </w:p>
        </w:tc>
      </w:tr>
    </w:tbl>
    <w:p/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Role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Name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Signature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Date</w:t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Policy Owner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Data Governance Council Chair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CISO / Security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Legal / Privacy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</w:tr>
    </w:tbl>
    <w:p>
      <w:pPr>
        <w:spacing w:before="360" w:after="0"/>
      </w:pPr>
      <w:r>
        <w:rPr>
          <w:rFonts w:ascii="Calibri" w:hAnsi="Calibri"/>
          <w:b w:val="0"/>
          <w:i/>
          <w:color w:val="8B8378"/>
          <w:sz w:val="18"/>
        </w:rPr>
        <w:t>From The Data Governor  ·  practitioner-grade data governance for working professionals  ·  thedatagovernor.com/templates/</w:t>
      </w:r>
    </w:p>
    <w:sectPr w:rsidR="00FC693F" w:rsidRPr="0006063C" w:rsidSect="00034616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