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pPr>
      <w:r>
        <w:rPr>
          <w:rFonts w:ascii="Calibri" w:hAnsi="Calibri"/>
          <w:b/>
          <w:i w:val="0"/>
          <w:color w:val="B5541A"/>
          <w:sz w:val="18"/>
        </w:rPr>
        <w:t>DATA GOVERNANCE</w:t>
      </w:r>
    </w:p>
    <w:p>
      <w:pPr>
        <w:spacing w:before="80" w:after="120"/>
      </w:pPr>
      <w:r>
        <w:rPr>
          <w:rFonts w:ascii="Calibri" w:hAnsi="Calibri"/>
          <w:b/>
          <w:i w:val="0"/>
          <w:color w:val="1A1F2E"/>
          <w:sz w:val="56"/>
        </w:rPr>
        <w:t>Council Charter</w:t>
      </w:r>
    </w:p>
    <w:p>
      <w:pPr>
        <w:spacing w:after="240"/>
      </w:pPr>
      <w:r>
        <w:rPr>
          <w:rFonts w:ascii="Calibri" w:hAnsi="Calibri"/>
          <w:b w:val="0"/>
          <w:i/>
          <w:color w:val="8B8378"/>
          <w:sz w:val="24"/>
        </w:rPr>
        <w:t>Mandate, scope, membership, decision rights, and operating rhythm for the enterprise data governance council.</w:t>
      </w:r>
    </w:p>
    <w:tbl>
      <w:tblPr>
        <w:tblW w:type="auto" w:w="0"/>
        <w:tblLook w:firstColumn="1" w:firstRow="1" w:lastColumn="0" w:lastRow="0" w:noHBand="0" w:noVBand="1" w:val="04A0"/>
      </w:tblPr>
      <w:tblGrid>
        <w:gridCol w:w="9360"/>
      </w:tblGrid>
      <w:tr>
        <w:trPr>
          <w:trHeight w:val="125"/>
        </w:trPr>
        <w:tc>
          <w:tcPr>
            <w:tcW w:type="dxa" w:w="9360"/>
            <w:shd w:val="clear" w:color="auto" w:fill="B5541A"/>
          </w:tcPr>
          <w:p/>
        </w:tc>
      </w:tr>
    </w:tbl>
    <w:p>
      <w:pPr>
        <w:spacing w:before="160" w:after="0"/>
      </w:pPr>
      <w:r>
        <w:rPr>
          <w:rFonts w:ascii="Calibri" w:hAnsi="Calibri"/>
          <w:b w:val="0"/>
          <w:i/>
          <w:color w:val="8B8378"/>
          <w:sz w:val="18"/>
        </w:rPr>
        <w:t>Template  ·  From The Data Governor  ·  thedatagovernor.com/templates/</w:t>
      </w:r>
    </w:p>
    <w:p/>
    <w:tbl>
      <w:tblPr>
        <w:tblStyle w:val="TableGrid"/>
        <w:tblW w:type="auto" w:w="0"/>
        <w:jc w:val="left"/>
        <w:tblLook w:firstColumn="1" w:firstRow="1" w:lastColumn="0" w:lastRow="0" w:noHBand="0" w:noVBand="1" w:val="04A0"/>
      </w:tblPr>
      <w:tblGrid>
        <w:gridCol w:w="4680"/>
        <w:gridCol w:w="4680"/>
      </w:tblGrid>
      <w:tr>
        <w:trPr/>
        <w:tc>
          <w:tcPr>
            <w:tcW w:type="dxa" w:w="3168"/>
            <w:shd w:val="clear" w:color="auto" w:fill="F5F1E8"/>
          </w:tcPr>
          <w:p>
            <w:pPr>
              <w:spacing w:before="60" w:after="60"/>
            </w:pPr>
            <w:r>
              <w:rPr>
                <w:rFonts w:ascii="Calibri" w:hAnsi="Calibri"/>
                <w:b/>
                <w:i w:val="0"/>
                <w:color w:val="1A1F2E"/>
                <w:sz w:val="20"/>
              </w:rPr>
              <w:t>Document title</w:t>
            </w:r>
          </w:p>
        </w:tc>
        <w:tc>
          <w:tcPr>
            <w:tcW w:type="dxa" w:w="5760"/>
          </w:tcPr>
          <w:p>
            <w:pPr>
              <w:spacing w:before="60" w:after="60"/>
            </w:pPr>
            <w:r>
              <w:rPr>
                <w:rFonts w:ascii="Calibri" w:hAnsi="Calibri"/>
                <w:b w:val="0"/>
                <w:i w:val="0"/>
                <w:color w:val="2A2620"/>
                <w:sz w:val="20"/>
              </w:rPr>
              <w:t>Data Governance Council Charter</w:t>
            </w:r>
          </w:p>
        </w:tc>
      </w:tr>
      <w:tr>
        <w:trPr/>
        <w:tc>
          <w:tcPr>
            <w:tcW w:type="dxa" w:w="3168"/>
            <w:shd w:val="clear" w:color="auto" w:fill="F5F1E8"/>
          </w:tcPr>
          <w:p>
            <w:pPr>
              <w:spacing w:before="60" w:after="60"/>
            </w:pPr>
            <w:r>
              <w:rPr>
                <w:rFonts w:ascii="Calibri" w:hAnsi="Calibri"/>
                <w:b/>
                <w:i w:val="0"/>
                <w:color w:val="1A1F2E"/>
                <w:sz w:val="20"/>
              </w:rPr>
              <w:t>Version</w:t>
            </w:r>
          </w:p>
        </w:tc>
        <w:tc>
          <w:tcPr>
            <w:tcW w:type="dxa" w:w="5760"/>
          </w:tcPr>
          <w:p>
            <w:pPr>
              <w:spacing w:before="60" w:after="60"/>
            </w:pPr>
            <w:r>
              <w:rPr>
                <w:rFonts w:ascii="Calibri" w:hAnsi="Calibri"/>
                <w:b w:val="0"/>
                <w:i w:val="0"/>
                <w:color w:val="2A2620"/>
                <w:sz w:val="20"/>
              </w:rPr>
              <w:t>1.0  —  [Date]</w:t>
            </w:r>
          </w:p>
        </w:tc>
      </w:tr>
      <w:tr>
        <w:trPr/>
        <w:tc>
          <w:tcPr>
            <w:tcW w:type="dxa" w:w="3168"/>
            <w:shd w:val="clear" w:color="auto" w:fill="F5F1E8"/>
          </w:tcPr>
          <w:p>
            <w:pPr>
              <w:spacing w:before="60" w:after="60"/>
            </w:pPr>
            <w:r>
              <w:rPr>
                <w:rFonts w:ascii="Calibri" w:hAnsi="Calibri"/>
                <w:b/>
                <w:i w:val="0"/>
                <w:color w:val="1A1F2E"/>
                <w:sz w:val="20"/>
              </w:rPr>
              <w:t>Owner</w:t>
            </w:r>
          </w:p>
        </w:tc>
        <w:tc>
          <w:tcPr>
            <w:tcW w:type="dxa" w:w="5760"/>
          </w:tcPr>
          <w:p>
            <w:pPr>
              <w:spacing w:before="60" w:after="60"/>
            </w:pPr>
            <w:r>
              <w:rPr>
                <w:rFonts w:ascii="Calibri" w:hAnsi="Calibri"/>
                <w:b w:val="0"/>
                <w:i w:val="0"/>
                <w:color w:val="2A2620"/>
                <w:sz w:val="20"/>
              </w:rPr>
              <w:t>[Executive Sponsor name and title]</w:t>
            </w:r>
          </w:p>
        </w:tc>
      </w:tr>
      <w:tr>
        <w:trPr/>
        <w:tc>
          <w:tcPr>
            <w:tcW w:type="dxa" w:w="3168"/>
            <w:shd w:val="clear" w:color="auto" w:fill="F5F1E8"/>
          </w:tcPr>
          <w:p>
            <w:pPr>
              <w:spacing w:before="60" w:after="60"/>
            </w:pPr>
            <w:r>
              <w:rPr>
                <w:rFonts w:ascii="Calibri" w:hAnsi="Calibri"/>
                <w:b/>
                <w:i w:val="0"/>
                <w:color w:val="1A1F2E"/>
                <w:sz w:val="20"/>
              </w:rPr>
              <w:t>Approved by</w:t>
            </w:r>
          </w:p>
        </w:tc>
        <w:tc>
          <w:tcPr>
            <w:tcW w:type="dxa" w:w="5760"/>
          </w:tcPr>
          <w:p>
            <w:pPr>
              <w:spacing w:before="60" w:after="60"/>
            </w:pPr>
            <w:r>
              <w:rPr>
                <w:rFonts w:ascii="Calibri" w:hAnsi="Calibri"/>
                <w:b w:val="0"/>
                <w:i w:val="0"/>
                <w:color w:val="2A2620"/>
                <w:sz w:val="20"/>
              </w:rPr>
              <w:t>[Approval body, e.g., Executive Leadership Team]</w:t>
            </w:r>
          </w:p>
        </w:tc>
      </w:tr>
      <w:tr>
        <w:trPr/>
        <w:tc>
          <w:tcPr>
            <w:tcW w:type="dxa" w:w="3168"/>
            <w:shd w:val="clear" w:color="auto" w:fill="F5F1E8"/>
          </w:tcPr>
          <w:p>
            <w:pPr>
              <w:spacing w:before="60" w:after="60"/>
            </w:pPr>
            <w:r>
              <w:rPr>
                <w:rFonts w:ascii="Calibri" w:hAnsi="Calibri"/>
                <w:b/>
                <w:i w:val="0"/>
                <w:color w:val="1A1F2E"/>
                <w:sz w:val="20"/>
              </w:rPr>
              <w:t>Next review date</w:t>
            </w:r>
          </w:p>
        </w:tc>
        <w:tc>
          <w:tcPr>
            <w:tcW w:type="dxa" w:w="5760"/>
          </w:tcPr>
          <w:p>
            <w:pPr>
              <w:spacing w:before="60" w:after="60"/>
            </w:pPr>
            <w:r>
              <w:rPr>
                <w:rFonts w:ascii="Calibri" w:hAnsi="Calibri"/>
                <w:b w:val="0"/>
                <w:i w:val="0"/>
                <w:color w:val="2A2620"/>
                <w:sz w:val="20"/>
              </w:rPr>
              <w:t>[12 months from effective date]</w:t>
            </w:r>
          </w:p>
        </w:tc>
      </w:tr>
      <w:tr>
        <w:trPr/>
        <w:tc>
          <w:tcPr>
            <w:tcW w:type="dxa" w:w="3168"/>
            <w:shd w:val="clear" w:color="auto" w:fill="F5F1E8"/>
          </w:tcPr>
          <w:p>
            <w:pPr>
              <w:spacing w:before="60" w:after="60"/>
            </w:pPr>
            <w:r>
              <w:rPr>
                <w:rFonts w:ascii="Calibri" w:hAnsi="Calibri"/>
                <w:b/>
                <w:i w:val="0"/>
                <w:color w:val="1A1F2E"/>
                <w:sz w:val="20"/>
              </w:rPr>
              <w:t>Status</w:t>
            </w:r>
          </w:p>
        </w:tc>
        <w:tc>
          <w:tcPr>
            <w:tcW w:type="dxa" w:w="5760"/>
          </w:tcPr>
          <w:p>
            <w:pPr>
              <w:spacing w:before="60" w:after="60"/>
            </w:pPr>
            <w:r>
              <w:rPr>
                <w:rFonts w:ascii="Calibri" w:hAnsi="Calibri"/>
                <w:b w:val="0"/>
                <w:i w:val="0"/>
                <w:color w:val="2A2620"/>
                <w:sz w:val="20"/>
              </w:rPr>
              <w:t>[ ] Draft   [ ] Under Review   [ ] Approved   [ ] Superseded</w:t>
            </w:r>
          </w:p>
        </w:tc>
      </w:tr>
    </w:tbl>
    <w:p/>
    <w:p>
      <w:pPr>
        <w:spacing w:before="360" w:after="120"/>
        <w:pBdr>
          <w:bottom w:val="single" w:sz="6" w:color="B5541A" w:space="4"/>
        </w:pBdr>
      </w:pPr>
      <w:r>
        <w:rPr>
          <w:rFonts w:ascii="Calibri" w:hAnsi="Calibri"/>
          <w:b/>
          <w:i w:val="0"/>
          <w:color w:val="1A1F2E"/>
          <w:sz w:val="28"/>
        </w:rPr>
        <w:t>1.  Purpose and Mandate</w:t>
      </w:r>
    </w:p>
    <w:p>
      <w:pPr>
        <w:spacing w:after="120" w:before="0"/>
      </w:pPr>
      <w:r>
        <w:rPr>
          <w:rFonts w:ascii="Calibri" w:hAnsi="Calibri"/>
          <w:b w:val="0"/>
          <w:i w:val="0"/>
          <w:color w:val="2A2620"/>
          <w:sz w:val="22"/>
        </w:rPr>
        <w:t>The Data Governance Council (the Council) is the enterprise body responsible for establishing, overseeing, and continuously improving the organization's data governance program. The Council provides the policy authority, cross-functional coordination, and executive accountability required to treat data as a shared organizational asset.</w:t>
      </w:r>
    </w:p>
    <w:p>
      <w:pPr>
        <w:spacing w:before="360" w:after="120"/>
      </w:pPr>
      <w:r>
        <w:rPr>
          <w:rFonts w:ascii="Calibri" w:hAnsi="Calibri"/>
          <w:b/>
          <w:i w:val="0"/>
          <w:color w:val="B5541A"/>
          <w:sz w:val="22"/>
        </w:rPr>
        <w:t>What the Council owns</w:t>
      </w:r>
    </w:p>
    <w:p>
      <w:pPr>
        <w:pStyle w:val="ListBullet"/>
        <w:spacing w:after="60" w:before="0"/>
        <w:ind w:left="360"/>
      </w:pPr>
      <w:r>
        <w:rPr>
          <w:rFonts w:ascii="Calibri" w:hAnsi="Calibri"/>
          <w:b w:val="0"/>
          <w:i w:val="0"/>
          <w:color w:val="2A2620"/>
          <w:sz w:val="22"/>
        </w:rPr>
        <w:t>Approving enterprise data policies, standards, and classification frameworks.</w:t>
      </w:r>
    </w:p>
    <w:p>
      <w:pPr>
        <w:pStyle w:val="ListBullet"/>
        <w:spacing w:after="60" w:before="0"/>
        <w:ind w:left="360"/>
      </w:pPr>
      <w:r>
        <w:rPr>
          <w:rFonts w:ascii="Calibri" w:hAnsi="Calibri"/>
          <w:b w:val="0"/>
          <w:i w:val="0"/>
          <w:color w:val="2A2620"/>
          <w:sz w:val="22"/>
        </w:rPr>
        <w:t>Ratifying the data domain model and ownership assignments.</w:t>
      </w:r>
    </w:p>
    <w:p>
      <w:pPr>
        <w:pStyle w:val="ListBullet"/>
        <w:spacing w:after="60" w:before="0"/>
        <w:ind w:left="360"/>
      </w:pPr>
      <w:r>
        <w:rPr>
          <w:rFonts w:ascii="Calibri" w:hAnsi="Calibri"/>
          <w:b w:val="0"/>
          <w:i w:val="0"/>
          <w:color w:val="2A2620"/>
          <w:sz w:val="22"/>
        </w:rPr>
        <w:t>Resolving cross-domain data conflicts that cannot be settled at the domain level.</w:t>
      </w:r>
    </w:p>
    <w:p>
      <w:pPr>
        <w:pStyle w:val="ListBullet"/>
        <w:spacing w:after="60" w:before="0"/>
        <w:ind w:left="360"/>
      </w:pPr>
      <w:r>
        <w:rPr>
          <w:rFonts w:ascii="Calibri" w:hAnsi="Calibri"/>
          <w:b w:val="0"/>
          <w:i w:val="0"/>
          <w:color w:val="2A2620"/>
          <w:sz w:val="22"/>
        </w:rPr>
        <w:t>Prioritizing the governance program roadmap and securing resources.</w:t>
      </w:r>
    </w:p>
    <w:p>
      <w:pPr>
        <w:pStyle w:val="ListBullet"/>
        <w:spacing w:after="60" w:before="0"/>
        <w:ind w:left="360"/>
      </w:pPr>
      <w:r>
        <w:rPr>
          <w:rFonts w:ascii="Calibri" w:hAnsi="Calibri"/>
          <w:b w:val="0"/>
          <w:i w:val="0"/>
          <w:color w:val="2A2620"/>
          <w:sz w:val="22"/>
        </w:rPr>
        <w:t>Reporting on data quality, compliance, and risk posture to the Executive Leadership Team.</w:t>
      </w:r>
    </w:p>
    <w:p>
      <w:pPr>
        <w:spacing w:before="360" w:after="120"/>
      </w:pPr>
      <w:r>
        <w:rPr>
          <w:rFonts w:ascii="Calibri" w:hAnsi="Calibri"/>
          <w:b/>
          <w:i w:val="0"/>
          <w:color w:val="B5541A"/>
          <w:sz w:val="22"/>
        </w:rPr>
        <w:t>What the Council does not own</w:t>
      </w:r>
    </w:p>
    <w:p>
      <w:pPr>
        <w:pStyle w:val="ListBullet"/>
        <w:spacing w:after="60" w:before="0"/>
        <w:ind w:left="360"/>
      </w:pPr>
      <w:r>
        <w:rPr>
          <w:rFonts w:ascii="Calibri" w:hAnsi="Calibri"/>
          <w:b w:val="0"/>
          <w:i w:val="0"/>
          <w:color w:val="2A2620"/>
          <w:sz w:val="22"/>
        </w:rPr>
        <w:t>Day-to-day data quality remediation (owned by Data Stewards).</w:t>
      </w:r>
    </w:p>
    <w:p>
      <w:pPr>
        <w:pStyle w:val="ListBullet"/>
        <w:spacing w:after="60" w:before="0"/>
        <w:ind w:left="360"/>
      </w:pPr>
      <w:r>
        <w:rPr>
          <w:rFonts w:ascii="Calibri" w:hAnsi="Calibri"/>
          <w:b w:val="0"/>
          <w:i w:val="0"/>
          <w:color w:val="2A2620"/>
          <w:sz w:val="22"/>
        </w:rPr>
        <w:t>Platform and pipeline engineering (owned by Data Custodians / IT).</w:t>
      </w:r>
    </w:p>
    <w:p>
      <w:pPr>
        <w:pStyle w:val="ListBullet"/>
        <w:spacing w:after="60" w:before="0"/>
        <w:ind w:left="360"/>
      </w:pPr>
      <w:r>
        <w:rPr>
          <w:rFonts w:ascii="Calibri" w:hAnsi="Calibri"/>
          <w:b w:val="0"/>
          <w:i w:val="0"/>
          <w:color w:val="2A2620"/>
          <w:sz w:val="22"/>
        </w:rPr>
        <w:t>Business process decisions that happen to involve data.</w:t>
      </w:r>
    </w:p>
    <w:p>
      <w:pPr>
        <w:spacing w:before="360" w:after="120"/>
        <w:pBdr>
          <w:bottom w:val="single" w:sz="6" w:color="B5541A" w:space="4"/>
        </w:pBdr>
      </w:pPr>
      <w:r>
        <w:rPr>
          <w:rFonts w:ascii="Calibri" w:hAnsi="Calibri"/>
          <w:b/>
          <w:i w:val="0"/>
          <w:color w:val="1A1F2E"/>
          <w:sz w:val="28"/>
        </w:rPr>
        <w:t>2.  Scope</w:t>
      </w:r>
    </w:p>
    <w:p>
      <w:pPr>
        <w:spacing w:after="120" w:before="0"/>
      </w:pPr>
      <w:r>
        <w:rPr>
          <w:rFonts w:ascii="Calibri" w:hAnsi="Calibri"/>
          <w:b w:val="0"/>
          <w:i w:val="0"/>
          <w:color w:val="2A2620"/>
          <w:sz w:val="22"/>
        </w:rPr>
        <w:t>This charter applies to all data created, collected, stored, processed, or shared by [Organization Name] and its subsidiaries, regardless of system, format, or geographic location. It covers structured, semi-structured, and unstructured data.</w:t>
      </w:r>
    </w:p>
    <w:p>
      <w:pPr>
        <w:spacing w:before="360" w:after="120"/>
      </w:pPr>
      <w:r>
        <w:rPr>
          <w:rFonts w:ascii="Calibri" w:hAnsi="Calibri"/>
          <w:b/>
          <w:i w:val="0"/>
          <w:color w:val="B5541A"/>
          <w:sz w:val="22"/>
        </w:rPr>
        <w:t>In scope</w:t>
      </w:r>
    </w:p>
    <w:p>
      <w:pPr>
        <w:pStyle w:val="ListBullet"/>
        <w:spacing w:after="60" w:before="0"/>
        <w:ind w:left="360"/>
      </w:pPr>
      <w:r>
        <w:rPr>
          <w:rFonts w:ascii="Calibri" w:hAnsi="Calibri"/>
          <w:b w:val="0"/>
          <w:i w:val="0"/>
          <w:color w:val="2A2620"/>
          <w:sz w:val="22"/>
        </w:rPr>
        <w:t>Enterprise data domains: Customer, Product, Finance, HR, Operations, and any domain added by resolution of the Council.</w:t>
      </w:r>
    </w:p>
    <w:p>
      <w:pPr>
        <w:pStyle w:val="ListBullet"/>
        <w:spacing w:after="60" w:before="0"/>
        <w:ind w:left="360"/>
      </w:pPr>
      <w:r>
        <w:rPr>
          <w:rFonts w:ascii="Calibri" w:hAnsi="Calibri"/>
          <w:b w:val="0"/>
          <w:i w:val="0"/>
          <w:color w:val="2A2620"/>
          <w:sz w:val="22"/>
        </w:rPr>
        <w:t>Third-party data received under data-sharing agreements or license.</w:t>
      </w:r>
    </w:p>
    <w:p>
      <w:pPr>
        <w:pStyle w:val="ListBullet"/>
        <w:spacing w:after="60" w:before="0"/>
        <w:ind w:left="360"/>
      </w:pPr>
      <w:r>
        <w:rPr>
          <w:rFonts w:ascii="Calibri" w:hAnsi="Calibri"/>
          <w:b w:val="0"/>
          <w:i w:val="0"/>
          <w:color w:val="2A2620"/>
          <w:sz w:val="22"/>
        </w:rPr>
        <w:t>Analytics, reporting, and AI/ML model training datasets.</w:t>
      </w:r>
    </w:p>
    <w:p>
      <w:pPr>
        <w:spacing w:before="360" w:after="120"/>
      </w:pPr>
      <w:r>
        <w:rPr>
          <w:rFonts w:ascii="Calibri" w:hAnsi="Calibri"/>
          <w:b/>
          <w:i w:val="0"/>
          <w:color w:val="B5541A"/>
          <w:sz w:val="22"/>
        </w:rPr>
        <w:t>Out of scope (initial charter)</w:t>
      </w:r>
    </w:p>
    <w:p>
      <w:pPr>
        <w:pStyle w:val="ListBullet"/>
        <w:spacing w:after="60" w:before="0"/>
        <w:ind w:left="360"/>
      </w:pPr>
      <w:r>
        <w:rPr>
          <w:rFonts w:ascii="Calibri" w:hAnsi="Calibri"/>
          <w:b w:val="0"/>
          <w:i w:val="0"/>
          <w:color w:val="2A2620"/>
          <w:sz w:val="22"/>
        </w:rPr>
        <w:t>Subsidiary-specific data not shared with the parent enterprise (governed by local policy aligned to this charter).</w:t>
      </w:r>
    </w:p>
    <w:p>
      <w:pPr>
        <w:pStyle w:val="ListBullet"/>
        <w:spacing w:after="60" w:before="0"/>
        <w:ind w:left="360"/>
      </w:pPr>
      <w:r>
        <w:rPr>
          <w:rFonts w:ascii="Calibri" w:hAnsi="Calibri"/>
          <w:b w:val="0"/>
          <w:i w:val="0"/>
          <w:color w:val="2A2620"/>
          <w:sz w:val="22"/>
        </w:rPr>
        <w:t>Personal data governed solely by individual employment contracts.</w:t>
      </w:r>
    </w:p>
    <w:p>
      <w:pPr>
        <w:spacing w:after="0" w:before="0"/>
      </w:pPr>
      <w:r>
        <w:rPr>
          <w:rFonts w:ascii="Calibri" w:hAnsi="Calibri"/>
          <w:b w:val="0"/>
          <w:i w:val="0"/>
          <w:color w:val="2A2620"/>
          <w:sz w:val="22"/>
        </w:rPr>
        <w:t>The Council may extend scope by majority vote with Executive Sponsor concurrence.</w:t>
      </w:r>
    </w:p>
    <w:p>
      <w:pPr>
        <w:spacing w:before="360" w:after="120"/>
        <w:pBdr>
          <w:bottom w:val="single" w:sz="6" w:color="B5541A" w:space="4"/>
        </w:pBdr>
      </w:pPr>
      <w:r>
        <w:rPr>
          <w:rFonts w:ascii="Calibri" w:hAnsi="Calibri"/>
          <w:b/>
          <w:i w:val="0"/>
          <w:color w:val="1A1F2E"/>
          <w:sz w:val="28"/>
        </w:rPr>
        <w:t>3.  Membership and Roles</w:t>
      </w:r>
    </w:p>
    <w:p>
      <w:pPr>
        <w:spacing w:after="120" w:before="0"/>
      </w:pPr>
      <w:r>
        <w:rPr>
          <w:rFonts w:ascii="Calibri" w:hAnsi="Calibri"/>
          <w:b w:val="0"/>
          <w:i w:val="0"/>
          <w:color w:val="2A2620"/>
          <w:sz w:val="22"/>
        </w:rPr>
        <w:t>Membership is role-based, not individual. When a member's role changes, the successor assumes membership automatically.</w:t>
      </w:r>
    </w:p>
    <w:tbl>
      <w:tblPr>
        <w:tblW w:type="auto" w:w="0"/>
        <w:jc w:val="left"/>
        <w:tblLook w:firstColumn="1" w:firstRow="1" w:lastColumn="0" w:lastRow="0" w:noHBand="0" w:noVBand="1" w:val="04A0"/>
      </w:tblPr>
      <w:tblGrid>
        <w:gridCol w:w="2340"/>
        <w:gridCol w:w="2340"/>
        <w:gridCol w:w="2340"/>
        <w:gridCol w:w="2340"/>
      </w:tblGrid>
      <w:tr>
        <w:tc>
          <w:tcPr>
            <w:tcW w:type="dxa" w:w="2088"/>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Role</w:t>
            </w:r>
          </w:p>
        </w:tc>
        <w:tc>
          <w:tcPr>
            <w:tcW w:type="dxa" w:w="2088"/>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Accountability</w:t>
            </w:r>
          </w:p>
        </w:tc>
        <w:tc>
          <w:tcPr>
            <w:tcW w:type="dxa" w:w="2088"/>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Filled by</w:t>
            </w:r>
          </w:p>
        </w:tc>
        <w:tc>
          <w:tcPr>
            <w:tcW w:type="dxa" w:w="2088"/>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Vote?</w:t>
            </w:r>
          </w:p>
        </w:tc>
      </w:tr>
      <w:tr>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Executive Sponsor</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Ultimate accountability for governance program outcomes; approves charter amendments.</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[CxO or SVP title]</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Yes</w:t>
            </w:r>
          </w:p>
        </w:tc>
      </w:tr>
      <w:tr>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Council Chair</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Runs meetings, owns agenda, breaks ties, reports to Board / ELT.</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[CDO or designated VP]</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Yes (tie-break)</w:t>
            </w:r>
          </w:p>
        </w:tc>
      </w:tr>
      <w:tr>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Data Domain Owner × N</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Accountable for data quality, classification, and policy adherence within their domain. One per domain.</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Senior business leader per domain</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Yes</w:t>
            </w:r>
          </w:p>
        </w:tc>
      </w:tr>
      <w:tr>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Data Steward Representative</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Practitioner voice; presents quality metrics and issue reports.</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Elected by steward community</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Advisory</w:t>
            </w:r>
          </w:p>
        </w:tc>
      </w:tr>
      <w:tr>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IT / Data Engineering Lead</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Technical feasibility assessment; platform and pipeline input.</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[VP Engineering or Architect]</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Advisory</w:t>
            </w:r>
          </w:p>
        </w:tc>
      </w:tr>
      <w:tr>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Legal / Privacy</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Regulatory and contractual compliance guidance.</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[General Counsel designee]</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Advisory</w:t>
            </w:r>
          </w:p>
        </w:tc>
      </w:tr>
      <w:tr>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Risk / Compliance</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Risk posture reporting; policy alignment with enterprise risk framework.</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[CRO designee]</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Advisory</w:t>
            </w:r>
          </w:p>
        </w:tc>
      </w:tr>
      <w:tr>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Secretary</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Minutes, action tracking, charter maintenance.</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Program Management Office</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No</w:t>
            </w:r>
          </w:p>
        </w:tc>
      </w:tr>
    </w:tbl>
    <w:p/>
    <w:p>
      <w:pPr>
        <w:spacing w:before="360" w:after="120"/>
      </w:pPr>
      <w:r>
        <w:rPr>
          <w:rFonts w:ascii="Calibri" w:hAnsi="Calibri"/>
          <w:b/>
          <w:i w:val="0"/>
          <w:color w:val="B5541A"/>
          <w:sz w:val="22"/>
        </w:rPr>
        <w:t>Quorum</w:t>
      </w:r>
    </w:p>
    <w:p>
      <w:pPr>
        <w:spacing w:after="120" w:before="0"/>
      </w:pPr>
      <w:r>
        <w:rPr>
          <w:rFonts w:ascii="Calibri" w:hAnsi="Calibri"/>
          <w:b w:val="0"/>
          <w:i w:val="0"/>
          <w:color w:val="2A2620"/>
          <w:sz w:val="22"/>
        </w:rPr>
        <w:t>A quorum requires the Council Chair plus at least 50 % of voting members. Decisions require a simple majority of votes cast. The Executive Sponsor may reserve veto rights for decisions with material budget or regulatory implications.</w:t>
      </w:r>
    </w:p>
    <w:p>
      <w:pPr>
        <w:spacing w:before="360" w:after="120"/>
      </w:pPr>
      <w:r>
        <w:rPr>
          <w:rFonts w:ascii="Calibri" w:hAnsi="Calibri"/>
          <w:b/>
          <w:i w:val="0"/>
          <w:color w:val="B5541A"/>
          <w:sz w:val="22"/>
        </w:rPr>
        <w:t>Guests and observers</w:t>
      </w:r>
    </w:p>
    <w:p>
      <w:pPr>
        <w:spacing w:after="0" w:before="0"/>
      </w:pPr>
      <w:r>
        <w:rPr>
          <w:rFonts w:ascii="Calibri" w:hAnsi="Calibri"/>
          <w:b w:val="0"/>
          <w:i w:val="0"/>
          <w:color w:val="2A2620"/>
          <w:sz w:val="22"/>
        </w:rPr>
        <w:t>Subject-matter experts may be invited to specific agenda items. Guests do not vote and are excused before any vote is called. The Chair decides guest admittance.</w:t>
      </w:r>
    </w:p>
    <w:p>
      <w:pPr>
        <w:spacing w:before="360" w:after="120"/>
        <w:pBdr>
          <w:bottom w:val="single" w:sz="6" w:color="B5541A" w:space="4"/>
        </w:pBdr>
      </w:pPr>
      <w:r>
        <w:rPr>
          <w:rFonts w:ascii="Calibri" w:hAnsi="Calibri"/>
          <w:b/>
          <w:i w:val="0"/>
          <w:color w:val="1A1F2E"/>
          <w:sz w:val="28"/>
        </w:rPr>
        <w:t>4.  Decision Rights</w:t>
      </w:r>
    </w:p>
    <w:p>
      <w:pPr>
        <w:spacing w:after="120" w:before="0"/>
      </w:pPr>
      <w:r>
        <w:rPr>
          <w:rFonts w:ascii="Calibri" w:hAnsi="Calibri"/>
          <w:b w:val="0"/>
          <w:i w:val="0"/>
          <w:color w:val="2A2620"/>
          <w:sz w:val="22"/>
        </w:rPr>
        <w:t>The table below defines which body has the authority to decide, recommend, or must be consulted for each category of governance decision. Use this table to route requests before they reach the Council agenda.</w:t>
      </w:r>
    </w:p>
    <w:tbl>
      <w:tblPr>
        <w:tblW w:type="auto" w:w="0"/>
        <w:jc w:val="left"/>
        <w:tblLook w:firstColumn="1" w:firstRow="1" w:lastColumn="0" w:lastRow="0" w:noHBand="0" w:noVBand="1" w:val="04A0"/>
      </w:tblPr>
      <w:tblGrid>
        <w:gridCol w:w="1872"/>
        <w:gridCol w:w="1872"/>
        <w:gridCol w:w="1872"/>
        <w:gridCol w:w="1872"/>
        <w:gridCol w:w="1872"/>
      </w:tblGrid>
      <w:tr>
        <w:tc>
          <w:tcPr>
            <w:tcW w:type="dxa" w:w="1944"/>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Decision category</w:t>
            </w:r>
          </w:p>
        </w:tc>
        <w:tc>
          <w:tcPr>
            <w:tcW w:type="dxa" w:w="1944"/>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Council</w:t>
            </w:r>
          </w:p>
        </w:tc>
        <w:tc>
          <w:tcPr>
            <w:tcW w:type="dxa" w:w="1944"/>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Domain Owner</w:t>
            </w:r>
          </w:p>
        </w:tc>
        <w:tc>
          <w:tcPr>
            <w:tcW w:type="dxa" w:w="1944"/>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Steward</w:t>
            </w:r>
          </w:p>
        </w:tc>
        <w:tc>
          <w:tcPr>
            <w:tcW w:type="dxa" w:w="1944"/>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IT Lead</w:t>
            </w:r>
          </w:p>
        </w:tc>
      </w:tr>
      <w:tr>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Enterprise data policy (new / change)</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Approves</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Proposes</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Consulted</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Consulted</w:t>
            </w:r>
          </w:p>
        </w:tc>
      </w:tr>
      <w:tr>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Data domain boundaries / ownership</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Approves</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Proposes</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Consulted</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Informed</w:t>
            </w:r>
          </w:p>
        </w:tc>
      </w:tr>
      <w:tr>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Data classification framework</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Approves</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Consulted</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Consulted</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Informed</w:t>
            </w:r>
          </w:p>
        </w:tc>
      </w:tr>
      <w:tr>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Cross-domain data sharing agreement</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Approves</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Recommends</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Consulted</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Implements</w:t>
            </w:r>
          </w:p>
        </w:tc>
      </w:tr>
      <w:tr>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Domain-level business rule</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Informed</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Approves</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Responsible</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Informed</w:t>
            </w:r>
          </w:p>
        </w:tc>
      </w:tr>
      <w:tr>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Data quality threshold (domain)</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Informed</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Approves</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Responsible</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Supports</w:t>
            </w:r>
          </w:p>
        </w:tc>
      </w:tr>
      <w:tr>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Access control policy</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Approves</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Consulted</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Informed</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Implements</w:t>
            </w:r>
          </w:p>
        </w:tc>
      </w:tr>
      <w:tr>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Retention and disposal schedule</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Approves</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Consulted</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Consulted</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Implements</w:t>
            </w:r>
          </w:p>
        </w:tc>
      </w:tr>
      <w:tr>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AI / analytics data product approval</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Approves</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Consulted</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Consulted</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Implements</w:t>
            </w:r>
          </w:p>
        </w:tc>
      </w:tr>
      <w:tr>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Governance roadmap prioritization</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Approves</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Input</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Input</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Input</w:t>
            </w:r>
          </w:p>
        </w:tc>
      </w:tr>
      <w:tr>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Budget for governance program</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Recommends</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Input</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w:t>
            </w:r>
          </w:p>
        </w:tc>
      </w:tr>
      <w:tr>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Individual data request (access)</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Escalation only</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Approves</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Reviews</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Grants</w:t>
            </w:r>
          </w:p>
        </w:tc>
      </w:tr>
    </w:tbl>
    <w:p/>
    <w:p>
      <w:pPr>
        <w:spacing w:before="360" w:after="120"/>
      </w:pPr>
      <w:r>
        <w:rPr>
          <w:rFonts w:ascii="Calibri" w:hAnsi="Calibri"/>
          <w:b/>
          <w:i w:val="0"/>
          <w:color w:val="B5541A"/>
          <w:sz w:val="22"/>
        </w:rPr>
        <w:t>Escalation path</w:t>
      </w:r>
    </w:p>
    <w:p>
      <w:pPr>
        <w:pStyle w:val="ListNumber"/>
        <w:spacing w:after="60" w:before="0"/>
        <w:ind w:left="360"/>
      </w:pPr>
      <w:r>
        <w:rPr>
          <w:rFonts w:ascii="Calibri" w:hAnsi="Calibri"/>
          <w:b w:val="0"/>
          <w:i w:val="0"/>
          <w:color w:val="2A2620"/>
          <w:sz w:val="22"/>
        </w:rPr>
        <w:t>Requester attempts resolution with the relevant Domain Owner and Steward.</w:t>
      </w:r>
    </w:p>
    <w:p>
      <w:pPr>
        <w:pStyle w:val="ListNumber"/>
        <w:spacing w:after="60" w:before="0"/>
        <w:ind w:left="360"/>
      </w:pPr>
      <w:r>
        <w:rPr>
          <w:rFonts w:ascii="Calibri" w:hAnsi="Calibri"/>
          <w:b w:val="0"/>
          <w:i w:val="0"/>
          <w:color w:val="2A2620"/>
          <w:sz w:val="22"/>
        </w:rPr>
        <w:t>If unresolved within 10 business days, the Secretary adds the item to the next Council agenda.</w:t>
      </w:r>
    </w:p>
    <w:p>
      <w:pPr>
        <w:pStyle w:val="ListNumber"/>
        <w:spacing w:after="60" w:before="0"/>
        <w:ind w:left="360"/>
      </w:pPr>
      <w:r>
        <w:rPr>
          <w:rFonts w:ascii="Calibri" w:hAnsi="Calibri"/>
          <w:b w:val="0"/>
          <w:i w:val="0"/>
          <w:color w:val="2A2620"/>
          <w:sz w:val="22"/>
        </w:rPr>
        <w:t>The Council deliberates and votes. Decision is recorded in minutes.</w:t>
      </w:r>
    </w:p>
    <w:p>
      <w:pPr>
        <w:pStyle w:val="ListNumber"/>
        <w:spacing w:after="60" w:before="0"/>
        <w:ind w:left="360"/>
      </w:pPr>
      <w:r>
        <w:rPr>
          <w:rFonts w:ascii="Calibri" w:hAnsi="Calibri"/>
          <w:b w:val="0"/>
          <w:i w:val="0"/>
          <w:color w:val="2A2620"/>
          <w:sz w:val="22"/>
        </w:rPr>
        <w:t>If a Council decision is contested on policy grounds, the Executive Sponsor issues a final ruling within 5 business days.</w:t>
      </w:r>
    </w:p>
    <w:p>
      <w:pPr>
        <w:pStyle w:val="ListNumber"/>
        <w:spacing w:after="60" w:before="0"/>
        <w:ind w:left="360"/>
      </w:pPr>
      <w:r>
        <w:rPr>
          <w:rFonts w:ascii="Calibri" w:hAnsi="Calibri"/>
          <w:b w:val="0"/>
          <w:i w:val="0"/>
          <w:color w:val="2A2620"/>
          <w:sz w:val="22"/>
        </w:rPr>
        <w:t>Decisions with regulatory implications are reviewed by Legal / Privacy before being finalized.</w:t>
      </w:r>
    </w:p>
    <w:p>
      <w:pPr>
        <w:spacing w:before="360" w:after="120"/>
        <w:pBdr>
          <w:bottom w:val="single" w:sz="6" w:color="B5541A" w:space="4"/>
        </w:pBdr>
      </w:pPr>
      <w:r>
        <w:rPr>
          <w:rFonts w:ascii="Calibri" w:hAnsi="Calibri"/>
          <w:b/>
          <w:i w:val="0"/>
          <w:color w:val="1A1F2E"/>
          <w:sz w:val="28"/>
        </w:rPr>
        <w:t>5.  Meeting Cadence and Operating Rhythm</w:t>
      </w:r>
    </w:p>
    <w:tbl>
      <w:tblPr>
        <w:tblW w:type="auto" w:w="0"/>
        <w:jc w:val="left"/>
        <w:tblLook w:firstColumn="1" w:firstRow="1" w:lastColumn="0" w:lastRow="0" w:noHBand="0" w:noVBand="1" w:val="04A0"/>
      </w:tblPr>
      <w:tblGrid>
        <w:gridCol w:w="1872"/>
        <w:gridCol w:w="1872"/>
        <w:gridCol w:w="1872"/>
        <w:gridCol w:w="1872"/>
        <w:gridCol w:w="1872"/>
      </w:tblGrid>
      <w:tr>
        <w:tc>
          <w:tcPr>
            <w:tcW w:type="dxa" w:w="1944"/>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Meeting</w:t>
            </w:r>
          </w:p>
        </w:tc>
        <w:tc>
          <w:tcPr>
            <w:tcW w:type="dxa" w:w="1944"/>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Frequency</w:t>
            </w:r>
          </w:p>
        </w:tc>
        <w:tc>
          <w:tcPr>
            <w:tcW w:type="dxa" w:w="1944"/>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Duration</w:t>
            </w:r>
          </w:p>
        </w:tc>
        <w:tc>
          <w:tcPr>
            <w:tcW w:type="dxa" w:w="1944"/>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Quorum required</w:t>
            </w:r>
          </w:p>
        </w:tc>
        <w:tc>
          <w:tcPr>
            <w:tcW w:type="dxa" w:w="1944"/>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Output</w:t>
            </w:r>
          </w:p>
        </w:tc>
      </w:tr>
      <w:tr>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Full Council</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Quarterly</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90 min</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Yes</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Decisions, amended policies, roadmap updates</w:t>
            </w:r>
          </w:p>
        </w:tc>
      </w:tr>
      <w:tr>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Chair + Domain Owners</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Monthly</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60 min</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No</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Issue triage, metric review, pre-decisions</w:t>
            </w:r>
          </w:p>
        </w:tc>
      </w:tr>
      <w:tr>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Steward Community</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Monthly</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60 min</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No</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Operational issues, quality dashboard review</w:t>
            </w:r>
          </w:p>
        </w:tc>
      </w:tr>
      <w:tr>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Working groups (ad hoc)</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As needed</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30–60 min</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No</w:t>
            </w:r>
          </w:p>
        </w:tc>
        <w:tc>
          <w:tcPr>
            <w:tcW w:type="dxa" w:w="1872"/>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Draft policies, issue investigations</w:t>
            </w:r>
          </w:p>
        </w:tc>
      </w:tr>
      <w:tr>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Executive briefing</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Semi-annual</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30 min</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No</w:t>
            </w:r>
          </w:p>
        </w:tc>
        <w:tc>
          <w:tcPr>
            <w:tcW w:type="dxa" w:w="1872"/>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Program health report to ELT / Board</w:t>
            </w:r>
          </w:p>
        </w:tc>
      </w:tr>
    </w:tbl>
    <w:p/>
    <w:p>
      <w:pPr>
        <w:spacing w:before="360" w:after="120"/>
      </w:pPr>
      <w:r>
        <w:rPr>
          <w:rFonts w:ascii="Calibri" w:hAnsi="Calibri"/>
          <w:b/>
          <w:i w:val="0"/>
          <w:color w:val="B5541A"/>
          <w:sz w:val="22"/>
        </w:rPr>
        <w:t>Agenda standard</w:t>
      </w:r>
    </w:p>
    <w:p>
      <w:pPr>
        <w:pStyle w:val="ListBullet"/>
        <w:spacing w:after="60" w:before="0"/>
        <w:ind w:left="360"/>
      </w:pPr>
      <w:r>
        <w:rPr>
          <w:rFonts w:ascii="Calibri" w:hAnsi="Calibri"/>
          <w:b w:val="0"/>
          <w:i w:val="0"/>
          <w:color w:val="2A2620"/>
          <w:sz w:val="22"/>
        </w:rPr>
        <w:t>Agendas distributed at least 5 business days before each Full Council meeting.</w:t>
      </w:r>
    </w:p>
    <w:p>
      <w:pPr>
        <w:pStyle w:val="ListBullet"/>
        <w:spacing w:after="60" w:before="0"/>
        <w:ind w:left="360"/>
      </w:pPr>
      <w:r>
        <w:rPr>
          <w:rFonts w:ascii="Calibri" w:hAnsi="Calibri"/>
          <w:b w:val="0"/>
          <w:i w:val="0"/>
          <w:color w:val="2A2620"/>
          <w:sz w:val="22"/>
        </w:rPr>
        <w:t>All decision items must include a one-page decision brief: background, options, recommendation, risk, and ask.</w:t>
      </w:r>
    </w:p>
    <w:p>
      <w:pPr>
        <w:pStyle w:val="ListBullet"/>
        <w:spacing w:after="60" w:before="0"/>
        <w:ind w:left="360"/>
      </w:pPr>
      <w:r>
        <w:rPr>
          <w:rFonts w:ascii="Calibri" w:hAnsi="Calibri"/>
          <w:b w:val="0"/>
          <w:i w:val="0"/>
          <w:color w:val="2A2620"/>
          <w:sz w:val="22"/>
        </w:rPr>
        <w:t>Standing items: metrics scorecard, open action register, escalation queue.</w:t>
      </w:r>
    </w:p>
    <w:p>
      <w:pPr>
        <w:pStyle w:val="ListBullet"/>
        <w:spacing w:after="60" w:before="0"/>
        <w:ind w:left="360"/>
      </w:pPr>
      <w:r>
        <w:rPr>
          <w:rFonts w:ascii="Calibri" w:hAnsi="Calibri"/>
          <w:b w:val="0"/>
          <w:i w:val="0"/>
          <w:color w:val="2A2620"/>
          <w:sz w:val="22"/>
        </w:rPr>
        <w:t>Minutes published within 3 business days; decisions recorded in the governance register.</w:t>
      </w:r>
    </w:p>
    <w:p>
      <w:pPr>
        <w:spacing w:before="360" w:after="120"/>
      </w:pPr>
      <w:r>
        <w:rPr>
          <w:rFonts w:ascii="Calibri" w:hAnsi="Calibri"/>
          <w:b/>
          <w:i w:val="0"/>
          <w:color w:val="B5541A"/>
          <w:sz w:val="22"/>
        </w:rPr>
        <w:t>Virtual and async participation</w:t>
      </w:r>
    </w:p>
    <w:p>
      <w:pPr>
        <w:spacing w:after="0" w:before="0"/>
      </w:pPr>
      <w:r>
        <w:rPr>
          <w:rFonts w:ascii="Calibri" w:hAnsi="Calibri"/>
          <w:b w:val="0"/>
          <w:i w:val="0"/>
          <w:color w:val="2A2620"/>
          <w:sz w:val="22"/>
        </w:rPr>
        <w:t>Members unable to attend in person may participate by video. Proxy votes are not permitted. Asynchronous decisions may be called by the Chair on non-contentious items; a 72-hour response window applies. No response = abstention.</w:t>
      </w:r>
    </w:p>
    <w:p>
      <w:pPr>
        <w:spacing w:before="360" w:after="120"/>
        <w:pBdr>
          <w:bottom w:val="single" w:sz="6" w:color="B5541A" w:space="4"/>
        </w:pBdr>
      </w:pPr>
      <w:r>
        <w:rPr>
          <w:rFonts w:ascii="Calibri" w:hAnsi="Calibri"/>
          <w:b/>
          <w:i w:val="0"/>
          <w:color w:val="1A1F2E"/>
          <w:sz w:val="28"/>
        </w:rPr>
        <w:t>6.  Performance Metrics and Reporting</w:t>
      </w:r>
    </w:p>
    <w:p>
      <w:pPr>
        <w:spacing w:after="120" w:before="0"/>
      </w:pPr>
      <w:r>
        <w:rPr>
          <w:rFonts w:ascii="Calibri" w:hAnsi="Calibri"/>
          <w:b w:val="0"/>
          <w:i w:val="0"/>
          <w:color w:val="2A2620"/>
          <w:sz w:val="22"/>
        </w:rPr>
        <w:t>The Council reviews the following metrics at every Full Council meeting and reports a summary to the ELT semi-annually.</w:t>
      </w:r>
    </w:p>
    <w:p>
      <w:pPr>
        <w:spacing w:before="360" w:after="120"/>
      </w:pPr>
      <w:r>
        <w:rPr>
          <w:rFonts w:ascii="Calibri" w:hAnsi="Calibri"/>
          <w:b/>
          <w:i w:val="0"/>
          <w:color w:val="B5541A"/>
          <w:sz w:val="22"/>
        </w:rPr>
        <w:t>Program health scorecard</w:t>
      </w:r>
    </w:p>
    <w:tbl>
      <w:tblPr>
        <w:tblW w:type="auto" w:w="0"/>
        <w:jc w:val="left"/>
        <w:tblLook w:firstColumn="1" w:firstRow="1" w:lastColumn="0" w:lastRow="0" w:noHBand="0" w:noVBand="1" w:val="04A0"/>
      </w:tblPr>
      <w:tblGrid>
        <w:gridCol w:w="2340"/>
        <w:gridCol w:w="2340"/>
        <w:gridCol w:w="2340"/>
        <w:gridCol w:w="2340"/>
      </w:tblGrid>
      <w:tr>
        <w:tc>
          <w:tcPr>
            <w:tcW w:type="dxa" w:w="2232"/>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Metric</w:t>
            </w:r>
          </w:p>
        </w:tc>
        <w:tc>
          <w:tcPr>
            <w:tcW w:type="dxa" w:w="2232"/>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Owner</w:t>
            </w:r>
          </w:p>
        </w:tc>
        <w:tc>
          <w:tcPr>
            <w:tcW w:type="dxa" w:w="2232"/>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Target</w:t>
            </w:r>
          </w:p>
        </w:tc>
        <w:tc>
          <w:tcPr>
            <w:tcW w:type="dxa" w:w="2232"/>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Reporting source</w:t>
            </w:r>
          </w:p>
        </w:tc>
      </w:tr>
      <w:tr>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Data quality score (weighted avg across domains)</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Council Chair</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 90 %</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Data quality platform</w:t>
            </w:r>
          </w:p>
        </w:tc>
      </w:tr>
      <w:tr>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 of data domains with a named owner</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Council Chair</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100 %</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Governance register</w:t>
            </w:r>
          </w:p>
        </w:tc>
      </w:tr>
      <w:tr>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Policy coverage (active policies vs. open gaps)</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Secretary</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 95 %</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Policy register</w:t>
            </w:r>
          </w:p>
        </w:tc>
      </w:tr>
      <w:tr>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Open cross-domain issues &gt; 30 days</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Chair</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0</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Issue tracker</w:t>
            </w:r>
          </w:p>
        </w:tc>
      </w:tr>
      <w:tr>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Access review completion rate (quarterly)</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IT Lead</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100 %</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IAM / GRC tool</w:t>
            </w:r>
          </w:p>
        </w:tc>
      </w:tr>
      <w:tr>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Retention schedule compliance</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Legal/Privacy</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100 %</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Records system</w:t>
            </w:r>
          </w:p>
        </w:tc>
      </w:tr>
      <w:tr>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Council action item closure rate</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Secretary</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 85 %</w:t>
            </w:r>
          </w:p>
        </w:tc>
        <w:tc>
          <w:tcPr>
            <w:tcW w:type="dxa" w:w="234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Action register</w:t>
            </w:r>
          </w:p>
        </w:tc>
      </w:tr>
    </w:tbl>
    <w:p/>
    <w:p>
      <w:pPr>
        <w:spacing w:before="360" w:after="120"/>
        <w:pBdr>
          <w:bottom w:val="single" w:sz="6" w:color="B5541A" w:space="4"/>
        </w:pBdr>
      </w:pPr>
      <w:r>
        <w:rPr>
          <w:rFonts w:ascii="Calibri" w:hAnsi="Calibri"/>
          <w:b/>
          <w:i w:val="0"/>
          <w:color w:val="1A1F2E"/>
          <w:sz w:val="28"/>
        </w:rPr>
        <w:t>7.  Relationships with Other Bodies</w:t>
      </w:r>
    </w:p>
    <w:p>
      <w:pPr>
        <w:spacing w:after="120" w:before="0"/>
      </w:pPr>
      <w:r>
        <w:rPr>
          <w:rFonts w:ascii="Calibri" w:hAnsi="Calibri"/>
          <w:b w:val="0"/>
          <w:i w:val="0"/>
          <w:color w:val="2A2620"/>
          <w:sz w:val="22"/>
        </w:rPr>
        <w:t>The Council does not operate in isolation. The table below maps key relationships to prevent overlap and clarify escalation paths.</w:t>
      </w:r>
    </w:p>
    <w:tbl>
      <w:tblPr>
        <w:tblW w:type="auto" w:w="0"/>
        <w:jc w:val="left"/>
        <w:tblLook w:firstColumn="1" w:firstRow="1" w:lastColumn="0" w:lastRow="0" w:noHBand="0" w:noVBand="1" w:val="04A0"/>
      </w:tblPr>
      <w:tblGrid>
        <w:gridCol w:w="3120"/>
        <w:gridCol w:w="3120"/>
        <w:gridCol w:w="3120"/>
      </w:tblGrid>
      <w:tr>
        <w:tc>
          <w:tcPr>
            <w:tcW w:type="dxa" w:w="2981"/>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Body</w:t>
            </w:r>
          </w:p>
        </w:tc>
        <w:tc>
          <w:tcPr>
            <w:tcW w:type="dxa" w:w="2981"/>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Relationship to Council</w:t>
            </w:r>
          </w:p>
        </w:tc>
        <w:tc>
          <w:tcPr>
            <w:tcW w:type="dxa" w:w="2981"/>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Key interface</w:t>
            </w:r>
          </w:p>
        </w:tc>
      </w:tr>
      <w:tr>
        <w:tc>
          <w:tcPr>
            <w:tcW w:type="dxa" w:w="312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Executive Leadership Team (ELT)</w:t>
            </w:r>
          </w:p>
        </w:tc>
        <w:tc>
          <w:tcPr>
            <w:tcW w:type="dxa" w:w="312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Council reports to ELT; ELT approves charter and budget.</w:t>
            </w:r>
          </w:p>
        </w:tc>
        <w:tc>
          <w:tcPr>
            <w:tcW w:type="dxa" w:w="312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Semi-annual program briefing</w:t>
            </w:r>
          </w:p>
        </w:tc>
      </w:tr>
      <w:tr>
        <w:tc>
          <w:tcPr>
            <w:tcW w:type="dxa" w:w="312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Board / Audit Committee</w:t>
            </w:r>
          </w:p>
        </w:tc>
        <w:tc>
          <w:tcPr>
            <w:tcW w:type="dxa" w:w="312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Council provides data risk summary on request.</w:t>
            </w:r>
          </w:p>
        </w:tc>
        <w:tc>
          <w:tcPr>
            <w:tcW w:type="dxa" w:w="312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Annual risk register input</w:t>
            </w:r>
          </w:p>
        </w:tc>
      </w:tr>
      <w:tr>
        <w:tc>
          <w:tcPr>
            <w:tcW w:type="dxa" w:w="312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IT Steering Committee</w:t>
            </w:r>
          </w:p>
        </w:tc>
        <w:tc>
          <w:tcPr>
            <w:tcW w:type="dxa" w:w="312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Council is a peer body; shares platform decisions.</w:t>
            </w:r>
          </w:p>
        </w:tc>
        <w:tc>
          <w:tcPr>
            <w:tcW w:type="dxa" w:w="312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Joint review of data platform roadmap</w:t>
            </w:r>
          </w:p>
        </w:tc>
      </w:tr>
      <w:tr>
        <w:tc>
          <w:tcPr>
            <w:tcW w:type="dxa" w:w="312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Risk &amp; Compliance Committee</w:t>
            </w:r>
          </w:p>
        </w:tc>
        <w:tc>
          <w:tcPr>
            <w:tcW w:type="dxa" w:w="312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Council receives regulatory requirements; escalates data-specific risks.</w:t>
            </w:r>
          </w:p>
        </w:tc>
        <w:tc>
          <w:tcPr>
            <w:tcW w:type="dxa" w:w="312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Shared issue register</w:t>
            </w:r>
          </w:p>
        </w:tc>
      </w:tr>
      <w:tr>
        <w:tc>
          <w:tcPr>
            <w:tcW w:type="dxa" w:w="312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Privacy Office / DPO</w:t>
            </w:r>
          </w:p>
        </w:tc>
        <w:tc>
          <w:tcPr>
            <w:tcW w:type="dxa" w:w="312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Council defers to Privacy on personal data; Privacy consults Council on classification.</w:t>
            </w:r>
          </w:p>
        </w:tc>
        <w:tc>
          <w:tcPr>
            <w:tcW w:type="dxa" w:w="3120"/>
            <w:shd w:val="clear" w:color="auto" w:fill="F5F1E8"/>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Policy co-authorship</w:t>
            </w:r>
          </w:p>
        </w:tc>
      </w:tr>
      <w:tr>
        <w:tc>
          <w:tcPr>
            <w:tcW w:type="dxa" w:w="312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Business Units</w:t>
            </w:r>
          </w:p>
        </w:tc>
        <w:tc>
          <w:tcPr>
            <w:tcW w:type="dxa" w:w="312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Business units surface data needs and issues to their Domain Owner.</w:t>
            </w:r>
          </w:p>
        </w:tc>
        <w:tc>
          <w:tcPr>
            <w:tcW w:type="dxa" w:w="312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Domain Owner is the interface</w:t>
            </w:r>
          </w:p>
        </w:tc>
      </w:tr>
    </w:tbl>
    <w:p/>
    <w:p>
      <w:pPr>
        <w:spacing w:before="360" w:after="120"/>
        <w:pBdr>
          <w:bottom w:val="single" w:sz="6" w:color="B5541A" w:space="4"/>
        </w:pBdr>
      </w:pPr>
      <w:r>
        <w:rPr>
          <w:rFonts w:ascii="Calibri" w:hAnsi="Calibri"/>
          <w:b/>
          <w:i w:val="0"/>
          <w:color w:val="1A1F2E"/>
          <w:sz w:val="28"/>
        </w:rPr>
        <w:t>8.  Charter Amendments and Review</w:t>
      </w:r>
    </w:p>
    <w:p>
      <w:pPr>
        <w:spacing w:after="120" w:before="0"/>
      </w:pPr>
      <w:r>
        <w:rPr>
          <w:rFonts w:ascii="Calibri" w:hAnsi="Calibri"/>
          <w:b w:val="0"/>
          <w:i w:val="0"/>
          <w:color w:val="2A2620"/>
          <w:sz w:val="22"/>
        </w:rPr>
        <w:t>This charter is reviewed annually by the Secretary and presented to the Council at the Q4 meeting. Amendments may be proposed by any voting member and require approval by a two-thirds majority of voting members plus Executive Sponsor sign-off.</w:t>
      </w:r>
    </w:p>
    <w:p>
      <w:pPr>
        <w:pStyle w:val="ListBullet"/>
        <w:spacing w:after="60" w:before="0"/>
        <w:ind w:left="360"/>
      </w:pPr>
      <w:r>
        <w:rPr>
          <w:rFonts w:ascii="Calibri" w:hAnsi="Calibri"/>
          <w:b w:val="0"/>
          <w:i w:val="0"/>
          <w:color w:val="2A2620"/>
          <w:sz w:val="22"/>
        </w:rPr>
        <w:t>Minor administrative changes (title corrections, member updates) may be approved by the Chair with Secretary counter-signature.</w:t>
      </w:r>
    </w:p>
    <w:p>
      <w:pPr>
        <w:pStyle w:val="ListBullet"/>
        <w:spacing w:after="60" w:before="0"/>
        <w:ind w:left="360"/>
      </w:pPr>
      <w:r>
        <w:rPr>
          <w:rFonts w:ascii="Calibri" w:hAnsi="Calibri"/>
          <w:b w:val="0"/>
          <w:i w:val="0"/>
          <w:color w:val="2A2620"/>
          <w:sz w:val="22"/>
        </w:rPr>
        <w:t>Material changes to scope, decision rights, or membership composition require a full vote.</w:t>
      </w:r>
    </w:p>
    <w:p>
      <w:pPr>
        <w:pStyle w:val="ListBullet"/>
        <w:spacing w:after="60" w:before="0"/>
        <w:ind w:left="360"/>
      </w:pPr>
      <w:r>
        <w:rPr>
          <w:rFonts w:ascii="Calibri" w:hAnsi="Calibri"/>
          <w:b w:val="0"/>
          <w:i w:val="0"/>
          <w:color w:val="2A2620"/>
          <w:sz w:val="22"/>
        </w:rPr>
        <w:t>Approved amendments are effective immediately upon signature and logged in the version table below.</w:t>
      </w:r>
    </w:p>
    <w:p/>
    <w:tbl>
      <w:tblPr>
        <w:tblStyle w:val="TableGrid"/>
        <w:tblW w:type="auto" w:w="0"/>
        <w:jc w:val="left"/>
        <w:tblLook w:firstColumn="1" w:firstRow="1" w:lastColumn="0" w:lastRow="0" w:noHBand="0" w:noVBand="1" w:val="04A0"/>
      </w:tblPr>
      <w:tblGrid>
        <w:gridCol w:w="4680"/>
        <w:gridCol w:w="4680"/>
      </w:tblGrid>
      <w:tr>
        <w:trPr/>
        <w:tc>
          <w:tcPr>
            <w:tcW w:type="dxa" w:w="3168"/>
            <w:shd w:val="clear" w:color="auto" w:fill="F5F1E8"/>
          </w:tcPr>
          <w:p>
            <w:pPr>
              <w:spacing w:before="60" w:after="60"/>
            </w:pPr>
            <w:r>
              <w:rPr>
                <w:rFonts w:ascii="Calibri" w:hAnsi="Calibri"/>
                <w:b/>
                <w:i w:val="0"/>
                <w:color w:val="1A1F2E"/>
                <w:sz w:val="20"/>
              </w:rPr>
              <w:t>Version</w:t>
            </w:r>
          </w:p>
        </w:tc>
        <w:tc>
          <w:tcPr>
            <w:tcW w:type="dxa" w:w="5760"/>
          </w:tcPr>
          <w:p>
            <w:pPr>
              <w:spacing w:before="60" w:after="60"/>
            </w:pPr>
            <w:r>
              <w:rPr>
                <w:rFonts w:ascii="Calibri" w:hAnsi="Calibri"/>
                <w:b w:val="0"/>
                <w:i w:val="0"/>
                <w:color w:val="2A2620"/>
                <w:sz w:val="20"/>
              </w:rPr>
              <w:t>Date  |  Author  |  Summary of changes</w:t>
            </w:r>
          </w:p>
        </w:tc>
      </w:tr>
      <w:tr>
        <w:trPr/>
        <w:tc>
          <w:tcPr>
            <w:tcW w:type="dxa" w:w="3168"/>
            <w:shd w:val="clear" w:color="auto" w:fill="F5F1E8"/>
          </w:tcPr>
          <w:p>
            <w:pPr>
              <w:spacing w:before="60" w:after="60"/>
            </w:pPr>
            <w:r>
              <w:rPr>
                <w:rFonts w:ascii="Calibri" w:hAnsi="Calibri"/>
                <w:b/>
                <w:i w:val="0"/>
                <w:color w:val="1A1F2E"/>
                <w:sz w:val="20"/>
              </w:rPr>
              <w:t>1.0</w:t>
            </w:r>
          </w:p>
        </w:tc>
        <w:tc>
          <w:tcPr>
            <w:tcW w:type="dxa" w:w="5760"/>
          </w:tcPr>
          <w:p>
            <w:pPr>
              <w:spacing w:before="60" w:after="60"/>
            </w:pPr>
            <w:r>
              <w:rPr>
                <w:rFonts w:ascii="Calibri" w:hAnsi="Calibri"/>
                <w:b w:val="0"/>
                <w:i w:val="0"/>
                <w:color w:val="2A2620"/>
                <w:sz w:val="20"/>
              </w:rPr>
              <w:t>[Date]  |  [Author]  |  Initial charter approved by Council.</w:t>
            </w:r>
          </w:p>
        </w:tc>
      </w:tr>
      <w:tr>
        <w:trPr/>
        <w:tc>
          <w:tcPr>
            <w:tcW w:type="dxa" w:w="3168"/>
            <w:shd w:val="clear" w:color="auto" w:fill="F5F1E8"/>
          </w:tcPr>
          <w:p>
            <w:pPr>
              <w:spacing w:before="60" w:after="60"/>
            </w:pPr>
            <w:r>
              <w:rPr>
                <w:rFonts w:ascii="Calibri" w:hAnsi="Calibri"/>
                <w:b/>
                <w:i w:val="0"/>
                <w:color w:val="1A1F2E"/>
                <w:sz w:val="20"/>
              </w:rPr>
              <w:t>—</w:t>
            </w:r>
          </w:p>
        </w:tc>
        <w:tc>
          <w:tcPr>
            <w:tcW w:type="dxa" w:w="5760"/>
          </w:tcPr>
          <w:p>
            <w:pPr>
              <w:spacing w:before="60" w:after="60"/>
            </w:pPr>
            <w:r>
              <w:rPr>
                <w:rFonts w:ascii="Calibri" w:hAnsi="Calibri"/>
                <w:b w:val="0"/>
                <w:i w:val="0"/>
                <w:color w:val="2A2620"/>
                <w:sz w:val="20"/>
              </w:rPr>
            </w:r>
          </w:p>
        </w:tc>
      </w:tr>
      <w:tr>
        <w:trPr/>
        <w:tc>
          <w:tcPr>
            <w:tcW w:type="dxa" w:w="3168"/>
            <w:shd w:val="clear" w:color="auto" w:fill="F5F1E8"/>
          </w:tcPr>
          <w:p>
            <w:pPr>
              <w:spacing w:before="60" w:after="60"/>
            </w:pPr>
            <w:r>
              <w:rPr>
                <w:rFonts w:ascii="Calibri" w:hAnsi="Calibri"/>
                <w:b/>
                <w:i w:val="0"/>
                <w:color w:val="1A1F2E"/>
                <w:sz w:val="20"/>
              </w:rPr>
              <w:t>—</w:t>
            </w:r>
          </w:p>
        </w:tc>
        <w:tc>
          <w:tcPr>
            <w:tcW w:type="dxa" w:w="5760"/>
          </w:tcPr>
          <w:p>
            <w:pPr>
              <w:spacing w:before="60" w:after="60"/>
            </w:pPr>
            <w:r>
              <w:rPr>
                <w:rFonts w:ascii="Calibri" w:hAnsi="Calibri"/>
                <w:b w:val="0"/>
                <w:i w:val="0"/>
                <w:color w:val="2A2620"/>
                <w:sz w:val="20"/>
              </w:rPr>
            </w:r>
          </w:p>
        </w:tc>
      </w:tr>
    </w:tbl>
    <w:p/>
    <w:p>
      <w:pPr>
        <w:spacing w:before="360" w:after="120"/>
        <w:pBdr>
          <w:bottom w:val="single" w:sz="6" w:color="B5541A" w:space="4"/>
        </w:pBdr>
      </w:pPr>
      <w:r>
        <w:rPr>
          <w:rFonts w:ascii="Calibri" w:hAnsi="Calibri"/>
          <w:b/>
          <w:i w:val="0"/>
          <w:color w:val="1A1F2E"/>
          <w:sz w:val="28"/>
        </w:rPr>
        <w:t>9.  Signatures</w:t>
      </w:r>
    </w:p>
    <w:p>
      <w:pPr>
        <w:spacing w:after="120" w:before="0"/>
      </w:pPr>
      <w:r>
        <w:rPr>
          <w:rFonts w:ascii="Calibri" w:hAnsi="Calibri"/>
          <w:b w:val="0"/>
          <w:i w:val="0"/>
          <w:color w:val="2A2620"/>
          <w:sz w:val="22"/>
        </w:rPr>
        <w:t>By signing below, the named individuals confirm they have read, understood, and agree to fulfil their responsibilities under this charter.</w:t>
      </w:r>
    </w:p>
    <w:p/>
    <w:tbl>
      <w:tblPr>
        <w:tblW w:type="auto" w:w="0"/>
        <w:jc w:val="left"/>
        <w:tblLook w:firstColumn="1" w:firstRow="1" w:lastColumn="0" w:lastRow="0" w:noHBand="0" w:noVBand="1" w:val="04A0"/>
      </w:tblPr>
      <w:tblGrid>
        <w:gridCol w:w="2340"/>
        <w:gridCol w:w="2340"/>
        <w:gridCol w:w="2340"/>
        <w:gridCol w:w="2340"/>
      </w:tblGrid>
      <w:tr>
        <w:tc>
          <w:tcPr>
            <w:tcW w:type="dxa" w:w="2232"/>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Role</w:t>
            </w:r>
          </w:p>
        </w:tc>
        <w:tc>
          <w:tcPr>
            <w:tcW w:type="dxa" w:w="2232"/>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Name</w:t>
            </w:r>
          </w:p>
        </w:tc>
        <w:tc>
          <w:tcPr>
            <w:tcW w:type="dxa" w:w="2232"/>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Signature</w:t>
            </w:r>
          </w:p>
        </w:tc>
        <w:tc>
          <w:tcPr>
            <w:tcW w:type="dxa" w:w="2232"/>
            <w:shd w:val="clear" w:color="auto" w:fill="1A1F2E"/>
            <w:tcBorders>
              <w:top w:val="single" w:sz="4" w:color="1A1F2E"/>
              <w:left w:val="single" w:sz="4" w:color="1A1F2E"/>
              <w:bottom w:val="single" w:sz="4" w:color="1A1F2E"/>
              <w:right w:val="single" w:sz="4" w:color="1A1F2E"/>
            </w:tcBorders>
          </w:tcPr>
          <w:p>
            <w:pPr>
              <w:spacing w:before="80" w:after="80"/>
              <w:jc w:val="center"/>
            </w:pPr>
            <w:r>
              <w:rPr>
                <w:rFonts w:ascii="Calibri" w:hAnsi="Calibri"/>
                <w:b/>
                <w:i w:val="0"/>
                <w:color w:val="FFFFFF"/>
                <w:sz w:val="18"/>
              </w:rPr>
              <w:t>Date</w:t>
            </w:r>
          </w:p>
        </w:tc>
      </w:tr>
      <w:tr>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Executive Sponsor</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r>
      <w:tr>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Council Chair</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r>
      <w:tr>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Domain Owner (representative)</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r>
      <w:tr>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t>Legal / Privacy</w:t>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c>
          <w:tcPr>
            <w:tcW w:type="dxa" w:w="2340"/>
            <w:tcBorders>
              <w:top w:val="single" w:sz="4" w:color="D6D2C8"/>
              <w:left w:val="single" w:sz="4" w:color="D6D2C8"/>
              <w:bottom w:val="single" w:sz="4" w:color="D6D2C8"/>
              <w:right w:val="single" w:sz="4" w:color="D6D2C8"/>
            </w:tcBorders>
          </w:tcPr>
          <w:p>
            <w:pPr>
              <w:spacing w:before="60" w:after="60"/>
            </w:pPr>
            <w:r>
              <w:rPr>
                <w:rFonts w:ascii="Calibri" w:hAnsi="Calibri"/>
                <w:b w:val="0"/>
                <w:i w:val="0"/>
                <w:color w:val="2A2620"/>
                <w:sz w:val="18"/>
              </w:rPr>
            </w:r>
          </w:p>
        </w:tc>
      </w:tr>
    </w:tbl>
    <w:p/>
    <w:p>
      <w:pPr>
        <w:spacing w:before="360" w:after="0"/>
      </w:pPr>
      <w:r>
        <w:rPr>
          <w:rFonts w:ascii="Calibri" w:hAnsi="Calibri"/>
          <w:b w:val="0"/>
          <w:i/>
          <w:color w:val="8B8378"/>
          <w:sz w:val="18"/>
        </w:rPr>
        <w:t>From The Data Governor  ·  practitioner-grade data governance for working professionals  ·  thedatagovernor.com/templates/</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