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i w:val="0"/>
          <w:color w:val="B5541A"/>
          <w:sz w:val="18"/>
        </w:rPr>
        <w:t>DATA GOVERNANCE</w:t>
      </w:r>
    </w:p>
    <w:p>
      <w:pPr>
        <w:spacing w:before="80" w:after="120"/>
      </w:pPr>
      <w:r>
        <w:rPr>
          <w:rFonts w:ascii="Calibri" w:hAnsi="Calibri"/>
          <w:b/>
          <w:i w:val="0"/>
          <w:color w:val="1A1F2E"/>
          <w:sz w:val="56"/>
        </w:rPr>
        <w:t>Framework Template</w:t>
      </w:r>
    </w:p>
    <w:p>
      <w:pPr>
        <w:spacing w:after="240"/>
      </w:pPr>
      <w:r>
        <w:rPr>
          <w:rFonts w:ascii="Calibri" w:hAnsi="Calibri"/>
          <w:b w:val="0"/>
          <w:i/>
          <w:color w:val="8B8378"/>
          <w:sz w:val="24"/>
        </w:rPr>
        <w:t>The complete operating document for a data governance program: vision, scope, operating model, roles, decision rights, policies, processes, metrics, and roadmap.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360"/>
      </w:tblGrid>
      <w:tr>
        <w:trPr>
          <w:trHeight w:val="125"/>
        </w:trPr>
        <w:tc>
          <w:tcPr>
            <w:tcW w:type="dxa" w:w="9360"/>
            <w:shd w:val="clear" w:color="auto" w:fill="B5541A"/>
          </w:tcPr>
          <w:p/>
        </w:tc>
      </w:tr>
    </w:tbl>
    <w:p>
      <w:pPr>
        <w:spacing w:before="160"/>
      </w:pPr>
      <w:r>
        <w:rPr>
          <w:rFonts w:ascii="Calibri" w:hAnsi="Calibri"/>
          <w:b w:val="0"/>
          <w:i/>
          <w:color w:val="8B8378"/>
          <w:sz w:val="18"/>
        </w:rPr>
        <w:t>Template  ·  From The Data Governor  ·  thedatagovernor.com/templates/</w:t>
      </w:r>
    </w:p>
    <w:p/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Document title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[Organization Name] Data Governance Framework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Version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1.0  —  [Date]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Owner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[CDO / Head of Data Governance]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Approved by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[Data Governance Council / Executive Leadership Team]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Next review date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[12 months from effective date]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Status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 ] Draft   [ ] Under Review   [ ] Approved   [ ] Superseded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1.  Vision and Business Case</w:t>
      </w:r>
    </w:p>
    <w:p>
      <w:pPr>
        <w:spacing w:after="120" w:before="0"/>
      </w:pPr>
      <w:r>
        <w:rPr>
          <w:rFonts w:ascii="Calibri" w:hAnsi="Calibri"/>
          <w:b w:val="0"/>
          <w:i/>
          <w:color w:val="2A2620"/>
          <w:sz w:val="22"/>
        </w:rPr>
        <w:t>State why this program exists in business language. A framework that opens with regulatory fear or abstract data-is-an-asset language loses its audience by page two. Anchor the vision to two or three measurable business outcomes.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Vision statement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[One sentence: what trustworthy, well-governed data makes possible for the organization.]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Business driver 1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[e.g., Reduce time-to-report for regulatory filings from X days to Y days.]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Business driver 2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[e.g., Cut duplicate customer records below N % to protect campaign spend.]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Business driver 3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[e.g., Enable AI/analytics initiatives blocked today by unreliable source data.]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Executive sponsor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[Name, title — the person who unblocks the program when it stalls.]</w:t>
            </w:r>
          </w:p>
        </w:tc>
      </w:tr>
    </w:tbl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2.  Scope and Data Domains</w:t>
      </w:r>
    </w:p>
    <w:p>
      <w:pPr>
        <w:spacing w:after="120" w:before="0"/>
      </w:pPr>
      <w:r>
        <w:rPr>
          <w:rFonts w:ascii="Calibri" w:hAnsi="Calibri"/>
          <w:b w:val="0"/>
          <w:i/>
          <w:color w:val="2A2620"/>
          <w:sz w:val="22"/>
        </w:rPr>
        <w:t>Name the domains this framework governs and who owns each. Start with the three to five domains where data problems cost the most; expand by council resolution, not ambition.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Data domain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Domain owner (role)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Key systems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 scope from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Customer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[VP-level business owner]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[CRM, billing, support]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[Phase 1]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Product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[Role]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[PIM, ERP]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[Phase 1]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Finance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[Role]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[ERP, EPM]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[Phase 1]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Employee / HR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[Role]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[HRIS]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[Phase 2]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[Add domain]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[Role]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[Systems]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[Phase]</w:t>
            </w:r>
          </w:p>
        </w:tc>
      </w:tr>
    </w:tbl>
    <w:p/>
    <w:p>
      <w:pPr>
        <w:spacing w:before="360" w:after="120"/>
      </w:pPr>
      <w:r>
        <w:rPr>
          <w:rFonts w:ascii="Calibri" w:hAnsi="Calibri"/>
          <w:b/>
          <w:i w:val="0"/>
          <w:color w:val="B5541A"/>
          <w:sz w:val="22"/>
        </w:rPr>
        <w:t>Out of scope (initial release)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[e.g., Subsidiary data not shared with the parent enterprise.]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[e.g., Unstructured collaboration content (documents, chat) — revisit in Phase 3.]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3.  Operating Model</w:t>
      </w:r>
    </w:p>
    <w:p>
      <w:pPr>
        <w:spacing w:after="120" w:before="0"/>
      </w:pPr>
      <w:r>
        <w:rPr>
          <w:rFonts w:ascii="Calibri" w:hAnsi="Calibri"/>
          <w:b w:val="0"/>
          <w:i/>
          <w:color w:val="2A2620"/>
          <w:sz w:val="22"/>
        </w:rPr>
        <w:t>Choose one and delete the others. The honest answer for most mid-size organizations is federated: central standards, domain execution.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2981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Model</w:t>
            </w:r>
          </w:p>
        </w:tc>
        <w:tc>
          <w:tcPr>
            <w:tcW w:type="dxa" w:w="2981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How it works</w:t>
            </w:r>
          </w:p>
        </w:tc>
        <w:tc>
          <w:tcPr>
            <w:tcW w:type="dxa" w:w="2981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Choose when</w:t>
            </w:r>
          </w:p>
        </w:tc>
      </w:tr>
      <w:tr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Centralized</w:t>
            </w:r>
          </w:p>
        </w:tc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 single governance team defines and executes policy for all domains.</w:t>
            </w:r>
          </w:p>
        </w:tc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Small org, few domains, early maturity, or heavy regulatory concentration.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Federated (recommended default)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 central office sets standards and tooling; domain teams execute stewardship inside their business unit.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Multiple business units with distinct data needs and enough staff to name domain stewards.</w:t>
            </w:r>
          </w:p>
        </w:tc>
      </w:tr>
      <w:tr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Decentralized / mesh</w:t>
            </w:r>
          </w:p>
        </w:tc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Domains own governance end-to-end against enterprise-published interoperability standards.</w:t>
            </w:r>
          </w:p>
        </w:tc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Strong platform team, mature domains, data-product operating model already in place.</w:t>
            </w:r>
          </w:p>
        </w:tc>
      </w:tr>
    </w:tbl>
    <w:p/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Selected model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[Centralized / Federated / Decentralized]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Rationale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[Two or three sentences: why this model fits the org's structure and maturity today.]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Revisit trigger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[e.g., Re-evaluate when domain count exceeds N or a data platform team is stood up.]</w:t>
            </w:r>
          </w:p>
        </w:tc>
      </w:tr>
    </w:tbl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4.  Roles and Responsibilities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Accountability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Reports to (for governance)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FTE / allocation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Executive Sponsor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Program outcomes; removes organizational blockers; approves charter and budget.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[Board / ELT]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[~2 hrs/month]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Head of Data Governance / CDO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Framework ownership; council chair; program roadmap.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[Executive Sponsor]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[Full-time or fraction]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Domain Owner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Quality, classification, and policy adherence for one domain; decision authority within it.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[Council]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[~10 %]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Steward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Day-to-day definitions, quality rules, issue triage within a domain.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[Domain Owner]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[20–30 %]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Custodian (IT)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Technical controls: storage, access enforcement, backup, lineage capture.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[IT leadership]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[Embedded]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Governance Council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Cross-domain decisions, policy ratification, escalation resolution.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[Executive Sponsor]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[Quarterly + monthly sync]</w:t>
            </w:r>
          </w:p>
        </w:tc>
      </w:tr>
    </w:tbl>
    <w:p/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Pair this section with a RACI matrix for the program's recurring activities — policy authoring, issue escalation, access approval, quality monitoring. (A free interactive builder and Excel workbook are at thedatagovernor.com/tools/raci-builder/.)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5.  Decision Rights and Escalation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Decision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Decided by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Input from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Escalates to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Enterprise data policy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Governance Council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Domain Owners, Legal, IT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Executive Sponsor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Domain business rules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Domain Owner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Stewards, consumers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Council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quality thresholds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Domain Owner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Stewards, IT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Council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Access to restricted data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Domain Owner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Security, Privacy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Council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Classification of new dataset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Steward (per policy)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Domain Owner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Domain Owner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Cross-domain conflicts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Governance Council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Affected owners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Executive Sponsor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Tooling / platform selection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[IT + Council jointly]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Stewards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Executive Sponsor</w:t>
            </w:r>
          </w:p>
        </w:tc>
      </w:tr>
    </w:tbl>
    <w:p/>
    <w:p>
      <w:pPr>
        <w:spacing w:before="360" w:after="120"/>
      </w:pPr>
      <w:r>
        <w:rPr>
          <w:rFonts w:ascii="Calibri" w:hAnsi="Calibri"/>
          <w:b/>
          <w:i w:val="0"/>
          <w:color w:val="B5541A"/>
          <w:sz w:val="22"/>
        </w:rPr>
        <w:t>Escalation path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Steward → Domain Owner: unresolved within [5] business days.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Domain Owner → Council: cross-domain impact, or unresolved within [10] business days.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Council → Executive Sponsor: contested decisions, budget, or regulatory exposure.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6.  Policy and Standards Inventory</w:t>
      </w:r>
    </w:p>
    <w:p>
      <w:pPr>
        <w:spacing w:after="120" w:before="0"/>
      </w:pPr>
      <w:r>
        <w:rPr>
          <w:rFonts w:ascii="Calibri" w:hAnsi="Calibri"/>
          <w:b w:val="0"/>
          <w:i/>
          <w:color w:val="2A2620"/>
          <w:sz w:val="22"/>
        </w:rPr>
        <w:t>Track every policy the framework requires, its owner, and its status. This table is the audit trail reviewers ask for first.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Policy / standard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Owner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Status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Review cycle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governance policy (umbrella)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[Head of DG]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[Draft / Approved]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Annual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classification policy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[Owner]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[Status]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Annual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retention &amp; disposal policy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[Owner]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[Status]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Annual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access &amp; authorization standard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[Owner]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[Status]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Annual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quality standard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[Owner]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[Status]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Annual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Metadata &amp; business glossary standard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[Owner]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[Status]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Annual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[Regulatory addendum, e.g., GDPR / HIPAA / BCBS 239]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[Owner]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[Status]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[Cycle]</w:t>
            </w:r>
          </w:p>
        </w:tc>
      </w:tr>
    </w:tbl>
    <w:p/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Starter documents for the classification and retention rows are available free at thedatagovernor.com/templates/.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7.  Core Governance Processes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Process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Trigger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Owner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Output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Issue management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Quality incident or policy exception reported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Steward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Logged issue, root cause, remediation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Definition management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New or disputed business term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Steward + glossary owner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Approved glossary entry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Access request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User requests data access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Domain Owner approves; IT grants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Auditable grant record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Quality monitoring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Scheduled (continuous / monthly)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Steward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Scorecard; issues opened on breach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Change impact review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Schema or source-system change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Custodian + Steward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Impact assessment; consumer notice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Policy exception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Business unit requests deviation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Council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Time-boxed, logged exception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8.  Technology and Tooling Map</w:t>
      </w:r>
    </w:p>
    <w:p>
      <w:pPr>
        <w:spacing w:after="120" w:before="0"/>
      </w:pPr>
      <w:r>
        <w:rPr>
          <w:rFonts w:ascii="Calibri" w:hAnsi="Calibri"/>
          <w:b w:val="0"/>
          <w:i/>
          <w:color w:val="2A2620"/>
          <w:sz w:val="22"/>
        </w:rPr>
        <w:t>List what fills each capability today — including 'spreadsheet' and 'nothing yet', which are honest answers that shape the roadmap. Tool selection follows the framework; it never leads it.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Capability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Current state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Target state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Phase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Business glossary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[e.g., Wiki page]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[e.g., Catalog-managed glossary]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[1]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catalog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[Current]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[Target]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[2]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quality monitoring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[Current]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[Target]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[2]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Lineage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[Current]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[Target]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[3]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Access management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[Current]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[Target]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[1]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MDM (if applicable)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[Current]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[Target]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[3]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9.  Metrics and Maturity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Metric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Baseline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12-month target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Source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Domains with named owner + steward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[X of Y]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100 %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Governance register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Critical data elements with approved definitions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[%]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[%]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Glossary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quality score (priority datasets)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[%]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[%]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Quality tooling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Open governance issues &gt; 30 days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[N]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0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Issue tracker</w:t>
            </w:r>
          </w:p>
        </w:tc>
      </w:tr>
      <w:tr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Policy coverage vs. inventory (Section 6)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[%]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≥ 95 %</w:t>
            </w:r>
          </w:p>
        </w:tc>
        <w:tc>
          <w:tcPr>
            <w:tcW w:type="dxa" w:w="234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Policy register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Maturity level (annual assessment)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[Level 1–5]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[+1 level]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Maturity assessment</w:t>
            </w:r>
          </w:p>
        </w:tc>
      </w:tr>
    </w:tbl>
    <w:p/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Reassess maturity annually with a consistent yardstick. A free DAMA-knowledge-area assessment and Excel workbook are at thedatagovernor.com/tools/data-governance-maturity-assessment/.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10.  Implementation Roadmap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2981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Horizon</w:t>
            </w:r>
          </w:p>
        </w:tc>
        <w:tc>
          <w:tcPr>
            <w:tcW w:type="dxa" w:w="2981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Objectives</w:t>
            </w:r>
          </w:p>
        </w:tc>
        <w:tc>
          <w:tcPr>
            <w:tcW w:type="dxa" w:w="2981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Exit criteria</w:t>
            </w:r>
          </w:p>
        </w:tc>
      </w:tr>
      <w:tr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First 90 days</w:t>
            </w:r>
          </w:p>
        </w:tc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[Ratify framework; name Phase-1 domain owners and stewards; stand up council; pick 1–2 painful datasets as pilots.]</w:t>
            </w:r>
          </w:p>
        </w:tc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[Council has met twice; pilot datasets have owners, definitions, and a quality baseline.]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Months 4–6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[Approve classification + retention policies; publish glossary for pilot domains; first quality scorecard.]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[Policies approved and communicated; scorecard reviewed at council.]</w:t>
            </w:r>
          </w:p>
        </w:tc>
      </w:tr>
      <w:tr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Months 7–12</w:t>
            </w:r>
          </w:p>
        </w:tc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[Extend to Phase-2 domains; tooling decisions from Section 8; first annual maturity reassessment.]</w:t>
            </w:r>
          </w:p>
        </w:tc>
        <w:tc>
          <w:tcPr>
            <w:tcW w:type="dxa" w:w="3120"/>
            <w:shd w:val="clear" w:color="auto" w:fill="F5F1E8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[Phase-2 domains onboarded; maturity delta measured and reported to sponsor.]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11.  Approval and Version History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Signature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Executive Sponsor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Head of Data Governance / CDO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Governance Council Chair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Legal / Privacy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</w:tbl>
    <w:p/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Version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Date  |  Author  |  Summary of changes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1.0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[Date]  |  [Author]  |  Initial framework approved.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—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</w:r>
          </w:p>
        </w:tc>
      </w:tr>
    </w:tbl>
    <w:p/>
    <w:p>
      <w:pPr>
        <w:spacing w:before="360"/>
      </w:pPr>
      <w:r>
        <w:rPr>
          <w:rFonts w:ascii="Calibri" w:hAnsi="Calibri"/>
          <w:b w:val="0"/>
          <w:i/>
          <w:color w:val="8B8378"/>
          <w:sz w:val="18"/>
        </w:rPr>
        <w:t>From The Data Governor  ·  practitioner-grade data governance for working professionals  ·  thedatagovernor.com/templates/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