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Calibri" w:hAnsi="Calibri"/>
          <w:b/>
          <w:i w:val="0"/>
          <w:color w:val="B5541A"/>
          <w:sz w:val="18"/>
        </w:rPr>
        <w:t>DATA GOVERNANCE</w:t>
      </w:r>
    </w:p>
    <w:p>
      <w:pPr>
        <w:spacing w:before="80" w:after="120"/>
      </w:pPr>
      <w:r>
        <w:rPr>
          <w:rFonts w:ascii="Calibri" w:hAnsi="Calibri"/>
          <w:b/>
          <w:i w:val="0"/>
          <w:color w:val="1A1F2E"/>
          <w:sz w:val="56"/>
        </w:rPr>
        <w:t>Data Retention &amp; Disposal Policy</w:t>
      </w:r>
    </w:p>
    <w:p>
      <w:pPr>
        <w:spacing w:after="240"/>
      </w:pPr>
      <w:r>
        <w:rPr>
          <w:rFonts w:ascii="Calibri" w:hAnsi="Calibri"/>
          <w:b w:val="0"/>
          <w:i/>
          <w:color w:val="8B8378"/>
          <w:sz w:val="24"/>
        </w:rPr>
        <w:t>Retention principles, legal holds, and defensible disposal — operated through the companion retention schedule.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360"/>
      </w:tblGrid>
      <w:tr>
        <w:trPr>
          <w:trHeight w:val="125"/>
        </w:trPr>
        <w:tc>
          <w:tcPr>
            <w:tcW w:type="dxa" w:w="9360"/>
            <w:shd w:val="clear" w:color="auto" w:fill="B5541A"/>
          </w:tcPr>
          <w:p/>
        </w:tc>
      </w:tr>
    </w:tbl>
    <w:p>
      <w:pPr>
        <w:spacing w:before="160" w:after="0"/>
      </w:pPr>
      <w:r>
        <w:rPr>
          <w:rFonts w:ascii="Calibri" w:hAnsi="Calibri"/>
          <w:b w:val="0"/>
          <w:i/>
          <w:color w:val="8B8378"/>
          <w:sz w:val="18"/>
        </w:rPr>
        <w:t>Template  ·  From The Data Governor  ·  thedatagovernor.com/templates/</w:t>
      </w:r>
    </w:p>
    <w:p/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Document title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Data Retention &amp; Disposal Policy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Version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1.0  —  [Date]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Owner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[Policy owner, e.g., Head of Data Governance]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Approved by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[Approval body, e.g., Data Governance Council + Legal]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Companion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Data Retention Schedule (XLSX) — the operative schedule of record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Next review date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[12 months from effective date]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Status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 ] Draft   [ ] Under Review   [ ] Approved   [ ] Superseded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1.  Purpose &amp; Scope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This policy sets how long [Organization] keeps each category of data, why, and how data is disposed of when its retention period ends. It exists to satisfy legal and regulatory obligations, to honor data-minimization principles (GDPR Art. 5(1)(e), CCPA), and to reduce the cost and risk of keeping data with no business value.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It applies to all records and data in any format or system. The specific periods live in the companion Data Retention Schedule; this policy governs how that schedule is applied, amended, and enforced.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2.  Principles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Retention follows purpose. Data is kept as long as a legal obligation or documented business purpose requires — and no longer.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The schedule is the single source of truth. If a system default conflicts with the schedule, the schedule wins.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Disposal is the default outcome. Every category has an end state; 'keep forever' requires explicit justification (e.g., corporate records).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Disposal must be defensible: performed per schedule, documented, and using methods appropriate to the data's classification tier.</w:t>
      </w:r>
    </w:p>
    <w:p>
      <w:pPr>
        <w:pStyle w:val="ListBullet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Legal holds override everything, immediately and for their full duration.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3.  The Retention Schedule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The companion XLSX lists each record category with its retention period, trigger event, regulatory basis, disposal method, and owner. Key rules for applying it: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Periods run from the trigger event (e.g., termination date, fiscal year end), not from creation, unless stated otherwise.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Where multiple rows could apply, the longest applicable period wins.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Bracketed values are policy choices, not legal minimums — set them deliberately and record the rationale.</w:t>
      </w:r>
    </w:p>
    <w:p>
      <w:pPr>
        <w:pStyle w:val="ListNumber"/>
        <w:spacing w:after="60" w:before="0"/>
        <w:ind w:left="360"/>
      </w:pPr>
      <w:r>
        <w:rPr>
          <w:rFonts w:ascii="Calibri" w:hAnsi="Calibri"/>
          <w:b w:val="0"/>
          <w:i w:val="0"/>
          <w:color w:val="2A2620"/>
          <w:sz w:val="22"/>
        </w:rPr>
        <w:t>New data categories must be added to the schedule before go-live; the schedule owner approves additions.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4.  Legal Holds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When litigation, investigation, or audit is reasonably anticipated, [Legal] issues a hold identifying the custodians and data in scope. From that moment: automated purges affecting held data are suspended, disposal of held records stops, and custodians acknowledge the hold in writing. The hold remains until [Legal] releases it in writing, after which normal schedule processing resumes. Disposing of held data is a serious violation with personal and corporate legal consequences (FRCP 37(e)).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5.  Disposal Standards</w:t>
      </w:r>
    </w:p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096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Method</w:t>
            </w:r>
          </w:p>
        </w:tc>
        <w:tc>
          <w:tcPr>
            <w:tcW w:type="dxa" w:w="3096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Use for</w:t>
            </w:r>
          </w:p>
        </w:tc>
        <w:tc>
          <w:tcPr>
            <w:tcW w:type="dxa" w:w="3096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Standard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Secure deletion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Digital records on managed systems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NIST SP 800-88 clear/purge; verified completion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Anonymization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Analytics value without identification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Irreversible; re-identification risk assessed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Physical destruction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Paper, tapes, decommissioned media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Cross-cut shred / certified destruction with certificate</w:t>
            </w:r>
          </w:p>
        </w:tc>
      </w:tr>
      <w:tr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2A2620"/>
                <w:sz w:val="18"/>
              </w:rPr>
              <w:t>Automated expiry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High-volume operational data (logs, analytics)</w:t>
            </w:r>
          </w:p>
        </w:tc>
        <w:tc>
          <w:tcPr>
            <w:tcW w:type="dxa" w:w="312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System-enforced TTL matching the schedule</w:t>
            </w:r>
          </w:p>
        </w:tc>
      </w:tr>
    </w:tbl>
    <w:p/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Disposal of Confidential or Restricted data (per the Data Classification Policy) is logged; Restricted disposal produces a disposal certificate retained for [3] years.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6.  Roles &amp; Responsibilities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Schedule Owner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Maintains the retention schedule, approves changes, and reports compliance to the governance council.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Record Owners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Apply the schedule within their domain and confirm annual disposal runs.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Data Custodian (IT)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Implements automated retention/expiry, executes disposal, and preserves held data.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Legal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Issues and releases legal holds; advises on regulatory minimums.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All Users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Do not keep personal copies of records beyond their scheduled life; report suspected over-retention.</w:t>
            </w:r>
          </w:p>
        </w:tc>
      </w:tr>
    </w:tbl>
    <w:p/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7.  Exceptions &amp; Review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2A2620"/>
          <w:sz w:val="22"/>
        </w:rPr>
        <w:t>Retention exceptions (keeping data beyond its scheduled period without a legal hold) require the schedule owner's written, time-bound approval. The schedule and this policy are reviewed [annually], and immediately upon relevant regulatory change.</w:t>
      </w:r>
    </w:p>
    <w:p>
      <w:pPr>
        <w:spacing w:before="360" w:after="120"/>
        <w:pBdr>
          <w:bottom w:val="single" w:sz="6" w:color="B5541A" w:space="4"/>
        </w:pBdr>
      </w:pPr>
      <w:r>
        <w:rPr>
          <w:rFonts w:ascii="Calibri" w:hAnsi="Calibri"/>
          <w:b/>
          <w:i w:val="0"/>
          <w:color w:val="1A1F2E"/>
          <w:sz w:val="28"/>
        </w:rPr>
        <w:t>8.  Revision History &amp; Approval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Version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Date  |  Author  |  Summary of changes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1.0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  <w:t>[Date]  |  [Author]  |  Initial policy approved.</w:t>
            </w:r>
          </w:p>
        </w:tc>
      </w:tr>
      <w:tr>
        <w:tc>
          <w:tcPr>
            <w:tcW w:type="dxa" w:w="3168"/>
            <w:shd w:val="clear" w:color="auto" w:fill="F5F1E8"/>
          </w:tcPr>
          <w:p>
            <w:pPr>
              <w:spacing w:before="60" w:after="60"/>
            </w:pPr>
            <w:r>
              <w:rPr>
                <w:rFonts w:ascii="Calibri" w:hAnsi="Calibri"/>
                <w:b/>
                <w:i w:val="0"/>
                <w:color w:val="1A1F2E"/>
                <w:sz w:val="20"/>
              </w:rPr>
              <w:t>—</w:t>
            </w:r>
          </w:p>
        </w:tc>
        <w:tc>
          <w:tcPr>
            <w:tcW w:type="dxa" w:w="5760"/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20"/>
              </w:rPr>
            </w:r>
          </w:p>
        </w:tc>
      </w:tr>
    </w:tbl>
    <w:p/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Name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Signature</w:t>
            </w:r>
          </w:p>
        </w:tc>
        <w:tc>
          <w:tcPr>
            <w:tcW w:type="dxa" w:w="2232"/>
            <w:shd w:val="clear" w:color="auto" w:fill="1A1F2E"/>
            <w:tcBorders>
              <w:top w:val="single" w:sz="4" w:color="1A1F2E"/>
              <w:left w:val="single" w:sz="4" w:color="1A1F2E"/>
              <w:bottom w:val="single" w:sz="4" w:color="1A1F2E"/>
              <w:right w:val="single" w:sz="4" w:color="1A1F2E"/>
            </w:tcBorders>
          </w:tcPr>
          <w:p>
            <w:pPr>
              <w:spacing w:before="80" w:after="8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Date</w:t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Policy Owner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Legal / Privacy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Data Governance Council Chair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  <w:tr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  <w:t>CIO / IT</w:t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  <w:tc>
          <w:tcPr>
            <w:tcW w:type="dxa" w:w="2340"/>
            <w:tcBorders>
              <w:top w:val="single" w:sz="4" w:color="D6D2C8"/>
              <w:left w:val="single" w:sz="4" w:color="D6D2C8"/>
              <w:bottom w:val="single" w:sz="4" w:color="D6D2C8"/>
              <w:right w:val="single" w:sz="4" w:color="D6D2C8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 w:val="0"/>
                <w:i w:val="0"/>
                <w:color w:val="2A2620"/>
                <w:sz w:val="18"/>
              </w:rPr>
            </w:r>
          </w:p>
        </w:tc>
      </w:tr>
    </w:tbl>
    <w:p>
      <w:pPr>
        <w:spacing w:before="360" w:after="0"/>
      </w:pPr>
      <w:r>
        <w:rPr>
          <w:rFonts w:ascii="Calibri" w:hAnsi="Calibri"/>
          <w:b w:val="0"/>
          <w:i/>
          <w:color w:val="8B8378"/>
          <w:sz w:val="18"/>
        </w:rPr>
        <w:t>From The Data Governor  ·  practitioner-grade data governance for working professionals  ·  thedatagovernor.com/templates/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