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Calibri" w:hAnsi="Calibri"/>
          <w:b/>
          <w:i w:val="0"/>
          <w:color w:val="B5541A"/>
          <w:sz w:val="18"/>
        </w:rPr>
        <w:t>DATA GOVERNANCE</w:t>
      </w:r>
    </w:p>
    <w:p>
      <w:pPr>
        <w:spacing w:before="80" w:after="120"/>
      </w:pPr>
      <w:r>
        <w:rPr>
          <w:rFonts w:ascii="Calibri" w:hAnsi="Calibri"/>
          <w:b/>
          <w:i w:val="0"/>
          <w:color w:val="1A1F2E"/>
          <w:sz w:val="56"/>
        </w:rPr>
        <w:t>Data Steward Job Description Pack</w:t>
      </w:r>
    </w:p>
    <w:p>
      <w:pPr>
        <w:spacing w:after="240"/>
      </w:pPr>
      <w:r>
        <w:rPr>
          <w:rFonts w:ascii="Calibri" w:hAnsi="Calibri"/>
          <w:b w:val="0"/>
          <w:i/>
          <w:color w:val="8B8378"/>
          <w:sz w:val="24"/>
        </w:rPr>
        <w:t>A hire-ready JD plus success metrics, a 30-60-90 plan, and interview questions with what good answers sound like.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360"/>
      </w:tblGrid>
      <w:tr>
        <w:trPr>
          <w:trHeight w:val="125"/>
        </w:trPr>
        <w:tc>
          <w:tcPr>
            <w:tcW w:type="dxa" w:w="9360"/>
            <w:shd w:val="clear" w:color="auto" w:fill="B5541A"/>
          </w:tcPr>
          <w:p/>
        </w:tc>
      </w:tr>
    </w:tbl>
    <w:p>
      <w:pPr>
        <w:spacing w:before="160" w:after="0"/>
      </w:pPr>
      <w:r>
        <w:rPr>
          <w:rFonts w:ascii="Calibri" w:hAnsi="Calibri"/>
          <w:b w:val="0"/>
          <w:i/>
          <w:color w:val="8B8378"/>
          <w:sz w:val="18"/>
        </w:rPr>
        <w:t>Template  ·  From The Data Governor  ·  thedatagovernor.com/templates/</w:t>
      </w:r>
    </w:p>
    <w:p/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Role title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Data Steward  [adjust: Business Data Steward / Technical Data Steward]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Department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[e.g., Data Governance Office / Business domain team]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Reports to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[e.g., Data Governance Lead / Domain Data Owner]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Level &amp; type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[Individual contributor  ·  Full-time]  —  [% allocation if fractional]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Compensation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[Range per your market data — stewards are typically senior-analyst to manager band]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Status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 ] Draft   [ ] Approved for posting   [ ] Filled</w:t>
            </w:r>
          </w:p>
        </w:tc>
      </w:tr>
    </w:tbl>
    <w:p/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1.  Role Summary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The Data Steward is the working guardian of data in the [domain] domain: the person who keeps definitions current, quality visible, issues moving, and policies actually applied. Stewards do not own the data — the Data Owner does — and they do not run the platforms — custodians in IT do. They are the connective tissue between the two: close enough to the business to know what the data means, close enough to the systems to know where it breaks.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This is a doing role, not a committee seat. A steward who only attends meetings is an expensive way to feel governed.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2.  Core Responsibilities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Maintain business definitions, valid values, and classification for the domain's critical data elements in [the data catalog].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Monitor data quality against agreed rules; triage, root-cause, and drive issues to resolution with custodians and source-system teams.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Apply governance policies day-to-day: classification at creation, access-request reviews, retention actions for the domain.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Represent the domain in the governance forum; escalate cross-domain conflicts to the Data Owner or council.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Review new data assets, pipelines, and reports for the domain before go-live: definitions recorded, quality rules attached, classification assigned.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Onboard and support data consumers — the steward is the first human a confused analyst should find.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Report domain health monthly: quality trend, open issues by age, policy exceptions.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3.  Qualifications</w:t>
      </w:r>
    </w:p>
    <w:p>
      <w:pPr>
        <w:spacing w:before="120" w:after="120"/>
      </w:pPr>
      <w:r>
        <w:rPr>
          <w:rFonts w:ascii="Calibri" w:hAnsi="Calibri"/>
          <w:b/>
          <w:i w:val="0"/>
          <w:color w:val="B5541A"/>
          <w:sz w:val="22"/>
        </w:rPr>
        <w:t>Required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[3–5]+ years working hands-on with the domain's data (analyst, operations, or engineering background).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Demonstrated fluency in the business processes that produce the data — can explain why a value is wrong, not just that it is.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Working SQL and comfort reading data models; enough technical depth to have credible conversations with engineers.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Evidence of driving unglamorous work to completion — issue queues, reconciliations, cleanup projects.</w:t>
      </w:r>
    </w:p>
    <w:p>
      <w:pPr>
        <w:spacing w:before="120" w:after="120"/>
      </w:pPr>
      <w:r>
        <w:rPr>
          <w:rFonts w:ascii="Calibri" w:hAnsi="Calibri"/>
          <w:b/>
          <w:i w:val="0"/>
          <w:color w:val="B5541A"/>
          <w:sz w:val="22"/>
        </w:rPr>
        <w:t>Preferred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Experience with a data catalog or governance platform [e.g., Collibra, Alation, Purview].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Familiarity with the domain's regulatory context [e.g., GDPR/CCPA for customer data, SOX for finance].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CDMP or equivalent data-management certification.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4.  Success Metrics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Measure stewards on outcomes they can influence — not on raw quality scores that source systems control.</w:t>
      </w:r>
    </w:p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096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Metric</w:t>
            </w:r>
          </w:p>
        </w:tc>
        <w:tc>
          <w:tcPr>
            <w:tcW w:type="dxa" w:w="3096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Target</w:t>
            </w:r>
          </w:p>
        </w:tc>
        <w:tc>
          <w:tcPr>
            <w:tcW w:type="dxa" w:w="3096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Cadence</w:t>
            </w:r>
          </w:p>
        </w:tc>
      </w:tr>
      <w:tr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Critical data elements with current definitions &amp; classification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[95]% of domain CDEs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Quarterly</w:t>
            </w:r>
          </w:p>
        </w:tc>
      </w:tr>
      <w:tr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Median age of open data-quality issues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&lt; [30] days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Monthly</w:t>
            </w:r>
          </w:p>
        </w:tc>
      </w:tr>
      <w:tr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Quality-rule coverage of domain CDEs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[80]%+ with active rules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Quarterly</w:t>
            </w:r>
          </w:p>
        </w:tc>
      </w:tr>
      <w:tr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New domain assets reviewed before go-live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[100]%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Monthly</w:t>
            </w:r>
          </w:p>
        </w:tc>
      </w:tr>
      <w:tr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Consumer satisfaction with domain data support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[4]/5 survey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Semi-annual</w:t>
            </w:r>
          </w:p>
        </w:tc>
      </w:tr>
    </w:tbl>
    <w:p/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5.  The First 90 Days</w:t>
      </w:r>
    </w:p>
    <w:p>
      <w:pPr>
        <w:pStyle w:val="ListNumber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Days 1–30 — Learn the estate: meet the owner, custodians, and top consumers; inventory the domain's critical data elements; read the open issue backlog.</w:t>
      </w:r>
    </w:p>
    <w:p>
      <w:pPr>
        <w:pStyle w:val="ListNumber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Days 31–60 — Establish the baseline: definitions and classification current for the top [20] CDEs; quality rules running on the [5] most-consumed tables; issue triage rhythm working.</w:t>
      </w:r>
    </w:p>
    <w:p>
      <w:pPr>
        <w:pStyle w:val="ListNumber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Days 61–90 — Show the trend: first monthly domain health report; one visible quality win root-caused and fixed end-to-end; go-live review step operating.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6.  Interview Questions (and what good sounds like)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75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475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 strong answer...</w:t>
            </w:r>
          </w:p>
        </w:tc>
      </w:tr>
      <w:tr>
        <w:tc>
          <w:tcPr>
            <w:tcW w:type="dxa" w:w="468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Tell me about a data quality problem you fixed end-to-end.</w:t>
            </w:r>
          </w:p>
        </w:tc>
        <w:tc>
          <w:tcPr>
            <w:tcW w:type="dxa" w:w="468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Names the root cause in the business process, not just the symptom; involved the source team; describes the control that keeps it fixed.</w:t>
            </w:r>
          </w:p>
        </w:tc>
      </w:tr>
      <w:tr>
        <w:tc>
          <w:tcPr>
            <w:tcW w:type="dxa" w:w="468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 senior executive's dashboard number disagrees with the system of record. Walk me through your first hour.</w:t>
            </w:r>
          </w:p>
        </w:tc>
        <w:tc>
          <w:tcPr>
            <w:tcW w:type="dxa" w:w="468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Reproduces the discrepancy, checks definitions before data, communicates early, and resists guessing under pressure.</w:t>
            </w:r>
          </w:p>
        </w:tc>
      </w:tr>
      <w:tr>
        <w:tc>
          <w:tcPr>
            <w:tcW w:type="dxa" w:w="468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How would you decide which data elements deserve stewardship attention first?</w:t>
            </w:r>
          </w:p>
        </w:tc>
        <w:tc>
          <w:tcPr>
            <w:tcW w:type="dxa" w:w="468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Prioritizes by consumption and consequence (regulatory, financial), not alphabetically or by loudest stakeholder.</w:t>
            </w:r>
          </w:p>
        </w:tc>
      </w:tr>
      <w:tr>
        <w:tc>
          <w:tcPr>
            <w:tcW w:type="dxa" w:w="468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The engineering team ships a new table without definitions. What do you do?</w:t>
            </w:r>
          </w:p>
        </w:tc>
        <w:tc>
          <w:tcPr>
            <w:tcW w:type="dxa" w:w="468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Fixes this instance and the process: adds the go-live review step, sells it as speed insurance rather than bureaucracy.</w:t>
            </w:r>
          </w:p>
        </w:tc>
      </w:tr>
      <w:tr>
        <w:tc>
          <w:tcPr>
            <w:tcW w:type="dxa" w:w="468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What's the difference between a data owner, steward, and custodian?</w:t>
            </w:r>
          </w:p>
        </w:tc>
        <w:tc>
          <w:tcPr>
            <w:tcW w:type="dxa" w:w="468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Crisp accountability distinction — owner decides, steward curates, custodian implements — ideally with a war story.</w:t>
            </w:r>
          </w:p>
        </w:tc>
      </w:tr>
      <w:tr>
        <w:tc>
          <w:tcPr>
            <w:tcW w:type="dxa" w:w="468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How do you keep definitions current without becoming a bottleneck?</w:t>
            </w:r>
          </w:p>
        </w:tc>
        <w:tc>
          <w:tcPr>
            <w:tcW w:type="dxa" w:w="468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Delegation, self-service edit-with-review workflows, and inheritance/automation — not personal heroics.</w:t>
            </w:r>
          </w:p>
        </w:tc>
      </w:tr>
    </w:tbl>
    <w:p/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7.  Adapting This Pack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Business vs technical steward: for a technical steward, weight SQL/pipeline depth up and meeting facilitation down; for business stewards, reverse it.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Fractional stewardship: if this is [25–50]% of an existing role, cut the responsibilities list to the first four bullets — a fractional steward with a full-time JD fails by design.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Replace every [bracketed] value, and validate the compensation band against your market before posting.</w:t>
      </w:r>
    </w:p>
    <w:p>
      <w:pPr>
        <w:spacing w:before="360" w:after="0"/>
      </w:pPr>
      <w:r>
        <w:rPr>
          <w:rFonts w:ascii="Calibri" w:hAnsi="Calibri"/>
          <w:b w:val="0"/>
          <w:i/>
          <w:color w:val="8B8378"/>
          <w:sz w:val="18"/>
        </w:rPr>
        <w:t>From The Data Governor  ·  practitioner-grade data governance for working professionals  ·  thedatagovernor.com/templates/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